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FB8" w:rsidRDefault="00A604B8" w:rsidP="00A604B8">
      <w:pPr>
        <w:ind w:left="-142"/>
      </w:pPr>
      <w:bookmarkStart w:id="0" w:name="_GoBack"/>
      <w:r w:rsidRPr="00A604B8">
        <mc:AlternateContent>
          <mc:Choice Requires="wps">
            <w:drawing>
              <wp:anchor distT="0" distB="0" distL="114300" distR="114300" simplePos="0" relativeHeight="251659264" behindDoc="0" locked="0" layoutInCell="1" allowOverlap="1" wp14:anchorId="24DD2146" wp14:editId="52523F37">
                <wp:simplePos x="0" y="0"/>
                <wp:positionH relativeFrom="column">
                  <wp:posOffset>3286125</wp:posOffset>
                </wp:positionH>
                <wp:positionV relativeFrom="paragraph">
                  <wp:posOffset>0</wp:posOffset>
                </wp:positionV>
                <wp:extent cx="2926763" cy="338554"/>
                <wp:effectExtent l="0" t="0" r="0" b="0"/>
                <wp:wrapNone/>
                <wp:docPr id="4" name="TextBox 3"/>
                <wp:cNvGraphicFramePr/>
                <a:graphic xmlns:a="http://schemas.openxmlformats.org/drawingml/2006/main">
                  <a:graphicData uri="http://schemas.microsoft.com/office/word/2010/wordprocessingShape">
                    <wps:wsp>
                      <wps:cNvSpPr txBox="1"/>
                      <wps:spPr>
                        <a:xfrm>
                          <a:off x="0" y="0"/>
                          <a:ext cx="2926763" cy="338554"/>
                        </a:xfrm>
                        <a:prstGeom prst="rect">
                          <a:avLst/>
                        </a:prstGeom>
                        <a:noFill/>
                      </wps:spPr>
                      <wps:txbx>
                        <w:txbxContent>
                          <w:p w:rsidR="00A604B8" w:rsidRDefault="00A604B8" w:rsidP="00A604B8">
                            <w:pPr>
                              <w:pStyle w:val="NormalWeb"/>
                              <w:spacing w:before="0" w:beforeAutospacing="0" w:after="0" w:afterAutospacing="0"/>
                              <w:jc w:val="center"/>
                            </w:pPr>
                            <w:r>
                              <w:rPr>
                                <w:rFonts w:asciiTheme="minorHAnsi" w:hAnsi="Calibri" w:cstheme="minorBidi"/>
                                <w:b/>
                                <w:bCs/>
                                <w:color w:val="000000" w:themeColor="text1"/>
                                <w:kern w:val="24"/>
                                <w:sz w:val="32"/>
                                <w:szCs w:val="32"/>
                              </w:rPr>
                              <w:t>Early Learning Reform Principles</w:t>
                            </w:r>
                          </w:p>
                        </w:txbxContent>
                      </wps:txbx>
                      <wps:bodyPr wrap="none" rtlCol="0">
                        <a:spAutoFit/>
                      </wps:bodyPr>
                    </wps:wsp>
                  </a:graphicData>
                </a:graphic>
              </wp:anchor>
            </w:drawing>
          </mc:Choice>
          <mc:Fallback>
            <w:pict>
              <v:shapetype w14:anchorId="24DD2146" id="_x0000_t202" coordsize="21600,21600" o:spt="202" path="m,l,21600r21600,l21600,xe">
                <v:stroke joinstyle="miter"/>
                <v:path gradientshapeok="t" o:connecttype="rect"/>
              </v:shapetype>
              <v:shape id="TextBox 3" o:spid="_x0000_s1026" type="#_x0000_t202" style="position:absolute;left:0;text-align:left;margin-left:258.75pt;margin-top:0;width:230.45pt;height:26.6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" filled="f" stroked="f">
                <v:textbox style="mso-fit-shape-to-text:t">
                  <w:txbxContent>
                    <w:p w:rsidR="00A604B8" w:rsidRDefault="00A604B8" w:rsidP="00A604B8">
                      <w:pPr>
                        <w:pStyle w:val="NormalWeb"/>
                        <w:spacing w:before="0" w:beforeAutospacing="0" w:after="0" w:afterAutospacing="0"/>
                        <w:jc w:val="center"/>
                      </w:pPr>
                      <w:r>
                        <w:rPr>
                          <w:rFonts w:asciiTheme="minorHAnsi" w:hAnsi="Calibri" w:cstheme="minorBidi"/>
                          <w:b/>
                          <w:bCs/>
                          <w:color w:val="000000" w:themeColor="text1"/>
                          <w:kern w:val="24"/>
                          <w:sz w:val="32"/>
                          <w:szCs w:val="32"/>
                        </w:rPr>
                        <w:t>Early Learning Reform Principles</w:t>
                      </w:r>
                    </w:p>
                  </w:txbxContent>
                </v:textbox>
              </v:shape>
            </w:pict>
          </mc:Fallback>
        </mc:AlternateContent>
      </w:r>
      <w:r w:rsidRPr="00A604B8">
        <mc:AlternateContent>
          <mc:Choice Requires="wps">
            <w:drawing>
              <wp:anchor distT="0" distB="0" distL="114300" distR="114300" simplePos="0" relativeHeight="251660288" behindDoc="0" locked="0" layoutInCell="1" allowOverlap="1" wp14:anchorId="6DE06CC5" wp14:editId="08C71A40">
                <wp:simplePos x="0" y="0"/>
                <wp:positionH relativeFrom="column">
                  <wp:posOffset>0</wp:posOffset>
                </wp:positionH>
                <wp:positionV relativeFrom="paragraph">
                  <wp:posOffset>538480</wp:posOffset>
                </wp:positionV>
                <wp:extent cx="8945429" cy="2417370"/>
                <wp:effectExtent l="0" t="0" r="27305" b="21590"/>
                <wp:wrapNone/>
                <wp:docPr id="5" name="Rectangle 4"/>
                <wp:cNvGraphicFramePr/>
                <a:graphic xmlns:a="http://schemas.openxmlformats.org/drawingml/2006/main">
                  <a:graphicData uri="http://schemas.microsoft.com/office/word/2010/wordprocessingShape">
                    <wps:wsp>
                      <wps:cNvSpPr/>
                      <wps:spPr>
                        <a:xfrm>
                          <a:off x="0" y="0"/>
                          <a:ext cx="8945429" cy="2417370"/>
                        </a:xfrm>
                        <a:prstGeom prst="rect">
                          <a:avLst/>
                        </a:prstGeom>
                        <a:solidFill>
                          <a:schemeClr val="bg1"/>
                        </a:solidFill>
                        <a:ln w="1905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604B8" w:rsidRDefault="00A604B8" w:rsidP="00A604B8">
                            <w:pPr>
                              <w:pStyle w:val="NormalWeb"/>
                              <w:spacing w:before="60" w:beforeAutospacing="0" w:after="60" w:afterAutospacing="0"/>
                            </w:pPr>
                            <w:r>
                              <w:rPr>
                                <w:rFonts w:asciiTheme="minorHAnsi" w:hAnsi="Calibri" w:cstheme="minorBidi"/>
                                <w:color w:val="000000" w:themeColor="text1"/>
                                <w:kern w:val="24"/>
                                <w:sz w:val="20"/>
                                <w:szCs w:val="20"/>
                              </w:rPr>
                              <w:t xml:space="preserve">All Australian Governments recognise the importance of the early years of life, and the significant contribution that high quality early learning makes to life-long educational achievement, productivity, wellbeing and success. This is reflected in our collective commitment to the national early childhood quality and participation agendas. </w:t>
                            </w:r>
                          </w:p>
                          <w:p w:rsidR="00A604B8" w:rsidRDefault="00A604B8" w:rsidP="00A604B8">
                            <w:pPr>
                              <w:pStyle w:val="NormalWeb"/>
                              <w:spacing w:before="60" w:beforeAutospacing="0" w:after="60" w:afterAutospacing="0"/>
                            </w:pPr>
                            <w:r>
                              <w:rPr>
                                <w:rFonts w:asciiTheme="minorHAnsi" w:hAnsi="Calibri" w:cstheme="minorBidi"/>
                                <w:color w:val="000000" w:themeColor="text1"/>
                                <w:kern w:val="24"/>
                                <w:sz w:val="20"/>
                                <w:szCs w:val="20"/>
                              </w:rPr>
                              <w:t xml:space="preserve">All jurisdictions acknowledge that reform and investment in early learning, which complements and builds on the strengths of the existing system, have the potential to deliver significant economic and social benefits to Australia, including improved school readiness; better opportunities; long-term productivity increases; improved workforce participation, income, financial security and health outcomes; and reductions in crime and welfare expenditure. </w:t>
                            </w:r>
                          </w:p>
                          <w:p w:rsidR="00A604B8" w:rsidRDefault="00A604B8" w:rsidP="00A604B8">
                            <w:pPr>
                              <w:pStyle w:val="NormalWeb"/>
                              <w:spacing w:before="60" w:beforeAutospacing="0" w:after="60" w:afterAutospacing="0"/>
                            </w:pPr>
                            <w:r>
                              <w:rPr>
                                <w:rFonts w:asciiTheme="minorHAnsi" w:hAnsi="Calibri" w:cstheme="minorBidi"/>
                                <w:color w:val="000000" w:themeColor="text1"/>
                                <w:kern w:val="24"/>
                                <w:sz w:val="20"/>
                                <w:szCs w:val="20"/>
                              </w:rPr>
                              <w:t xml:space="preserve">All jurisdictions recognise that we have a mutual interest in improving outcomes through early learning, and need to work together to achieve those outcomes. We share a commitment to the provision of high quality early learning services across Australia and improvements to the </w:t>
                            </w:r>
                            <w:r>
                              <w:rPr>
                                <w:rFonts w:asciiTheme="minorHAnsi" w:hAnsi="Calibri" w:cstheme="minorBidi"/>
                                <w:color w:val="000000" w:themeColor="dark1"/>
                                <w:kern w:val="24"/>
                                <w:sz w:val="20"/>
                                <w:szCs w:val="20"/>
                              </w:rPr>
                              <w:t xml:space="preserve">availability and sharing of </w:t>
                            </w:r>
                            <w:r>
                              <w:rPr>
                                <w:rFonts w:asciiTheme="minorHAnsi" w:hAnsi="Calibri" w:cstheme="minorBidi"/>
                                <w:color w:val="000000" w:themeColor="text1"/>
                                <w:kern w:val="24"/>
                                <w:sz w:val="20"/>
                                <w:szCs w:val="20"/>
                              </w:rPr>
                              <w:t xml:space="preserve">data, evidence and research. All jurisdictions are already making a significant contribution to early learning in a range of settings. The substantial early learning system improvements and reform by all jurisdictions form a strong base from which to continue improving outcomes for children and families. </w:t>
                            </w:r>
                          </w:p>
                          <w:p w:rsidR="00A604B8" w:rsidRDefault="00A604B8" w:rsidP="00A604B8">
                            <w:pPr>
                              <w:pStyle w:val="NormalWeb"/>
                              <w:spacing w:before="60" w:beforeAutospacing="0" w:after="60" w:afterAutospacing="0"/>
                            </w:pPr>
                            <w:r>
                              <w:rPr>
                                <w:rFonts w:asciiTheme="minorHAnsi" w:hAnsi="Calibri" w:cstheme="minorBidi"/>
                                <w:color w:val="000000" w:themeColor="text1"/>
                                <w:kern w:val="24"/>
                                <w:sz w:val="20"/>
                                <w:szCs w:val="20"/>
                              </w:rPr>
                              <w:t xml:space="preserve">Early learning services include early childhood education and care, and other services that support families and children’s wellbeing, learning and development in the first years of life. All jurisdictions acknowledge that delivery of these services varies across jurisdictions, and that this diversity is a strength. Jurisdictions recognise that early learning intersects with other portfolios and services at all levels. </w:t>
                            </w:r>
                          </w:p>
                        </w:txbxContent>
                      </wps:txbx>
                      <wps:bodyPr rtlCol="0" anchor="ctr"/>
                    </wps:wsp>
                  </a:graphicData>
                </a:graphic>
              </wp:anchor>
            </w:drawing>
          </mc:Choice>
          <mc:Fallback>
            <w:pict>
              <v:rect w14:anchorId="6DE06CC5" id="Rectangle 4" o:spid="_x0000_s1027" style="position:absolute;left:0;text-align:left;margin-left:0;margin-top:42.4pt;width:704.35pt;height:190.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" fillcolor="white [3212]" strokecolor="#2e74b5 [2404]" strokeweight="1.5pt">
                <v:textbox>
                  <w:txbxContent>
                    <w:p w:rsidR="00A604B8" w:rsidRDefault="00A604B8" w:rsidP="00A604B8">
                      <w:pPr>
                        <w:pStyle w:val="NormalWeb"/>
                        <w:spacing w:before="60" w:beforeAutospacing="0" w:after="60" w:afterAutospacing="0"/>
                      </w:pPr>
                      <w:r>
                        <w:rPr>
                          <w:rFonts w:asciiTheme="minorHAnsi" w:hAnsi="Calibri" w:cstheme="minorBidi"/>
                          <w:color w:val="000000" w:themeColor="text1"/>
                          <w:kern w:val="24"/>
                          <w:sz w:val="20"/>
                          <w:szCs w:val="20"/>
                        </w:rPr>
                        <w:t xml:space="preserve">All Australian Governments recognise the importance of the early years of life, and the significant contribution that high quality early learning makes to life-long educational achievement, productivity, wellbeing and success. This is reflected in our collective commitment to the national early childhood quality and participation agendas. </w:t>
                      </w:r>
                    </w:p>
                    <w:p w:rsidR="00A604B8" w:rsidRDefault="00A604B8" w:rsidP="00A604B8">
                      <w:pPr>
                        <w:pStyle w:val="NormalWeb"/>
                        <w:spacing w:before="60" w:beforeAutospacing="0" w:after="60" w:afterAutospacing="0"/>
                      </w:pPr>
                      <w:r>
                        <w:rPr>
                          <w:rFonts w:asciiTheme="minorHAnsi" w:hAnsi="Calibri" w:cstheme="minorBidi"/>
                          <w:color w:val="000000" w:themeColor="text1"/>
                          <w:kern w:val="24"/>
                          <w:sz w:val="20"/>
                          <w:szCs w:val="20"/>
                        </w:rPr>
                        <w:t xml:space="preserve">All jurisdictions acknowledge that reform and investment in early learning, which complements and builds on the strengths of the existing system, have the potential to deliver significant economic and social benefits to Australia, including improved school readiness; better opportunities; long-term productivity increases; improved workforce participation, income, financial security and health outcomes; and reductions in crime and welfare expenditure. </w:t>
                      </w:r>
                    </w:p>
                    <w:p w:rsidR="00A604B8" w:rsidRDefault="00A604B8" w:rsidP="00A604B8">
                      <w:pPr>
                        <w:pStyle w:val="NormalWeb"/>
                        <w:spacing w:before="60" w:beforeAutospacing="0" w:after="60" w:afterAutospacing="0"/>
                      </w:pPr>
                      <w:r>
                        <w:rPr>
                          <w:rFonts w:asciiTheme="minorHAnsi" w:hAnsi="Calibri" w:cstheme="minorBidi"/>
                          <w:color w:val="000000" w:themeColor="text1"/>
                          <w:kern w:val="24"/>
                          <w:sz w:val="20"/>
                          <w:szCs w:val="20"/>
                        </w:rPr>
                        <w:t xml:space="preserve">All jurisdictions recognise that we have a mutual interest in improving outcomes through early learning, and need to work together to achieve those outcomes. We share a commitment to the provision of high quality early learning services across Australia and improvements to the </w:t>
                      </w:r>
                      <w:r>
                        <w:rPr>
                          <w:rFonts w:asciiTheme="minorHAnsi" w:hAnsi="Calibri" w:cstheme="minorBidi"/>
                          <w:color w:val="000000" w:themeColor="dark1"/>
                          <w:kern w:val="24"/>
                          <w:sz w:val="20"/>
                          <w:szCs w:val="20"/>
                        </w:rPr>
                        <w:t xml:space="preserve">availability and sharing of </w:t>
                      </w:r>
                      <w:r>
                        <w:rPr>
                          <w:rFonts w:asciiTheme="minorHAnsi" w:hAnsi="Calibri" w:cstheme="minorBidi"/>
                          <w:color w:val="000000" w:themeColor="text1"/>
                          <w:kern w:val="24"/>
                          <w:sz w:val="20"/>
                          <w:szCs w:val="20"/>
                        </w:rPr>
                        <w:t xml:space="preserve">data, evidence and research. All jurisdictions are already making a significant contribution to early learning in a range of settings. The substantial early learning system improvements and reform by all jurisdictions form a strong base from which to continue improving outcomes for children and families. </w:t>
                      </w:r>
                    </w:p>
                    <w:p w:rsidR="00A604B8" w:rsidRDefault="00A604B8" w:rsidP="00A604B8">
                      <w:pPr>
                        <w:pStyle w:val="NormalWeb"/>
                        <w:spacing w:before="60" w:beforeAutospacing="0" w:after="60" w:afterAutospacing="0"/>
                      </w:pPr>
                      <w:r>
                        <w:rPr>
                          <w:rFonts w:asciiTheme="minorHAnsi" w:hAnsi="Calibri" w:cstheme="minorBidi"/>
                          <w:color w:val="000000" w:themeColor="text1"/>
                          <w:kern w:val="24"/>
                          <w:sz w:val="20"/>
                          <w:szCs w:val="20"/>
                        </w:rPr>
                        <w:t xml:space="preserve">Early learning services include early childhood education and care, and other services that support families and children’s wellbeing, learning and development in the first years of life. All jurisdictions acknowledge that delivery of these services varies across jurisdictions, and that this diversity is a strength. Jurisdictions recognise that early learning intersects with other portfolios and services at all levels. </w:t>
                      </w:r>
                    </w:p>
                  </w:txbxContent>
                </v:textbox>
              </v:rect>
            </w:pict>
          </mc:Fallback>
        </mc:AlternateContent>
      </w:r>
      <w:r w:rsidRPr="00A604B8">
        <mc:AlternateContent>
          <mc:Choice Requires="wps">
            <w:drawing>
              <wp:anchor distT="0" distB="0" distL="114300" distR="114300" simplePos="0" relativeHeight="251661312" behindDoc="0" locked="0" layoutInCell="1" allowOverlap="1" wp14:anchorId="5D20140B" wp14:editId="5946BCE0">
                <wp:simplePos x="0" y="0"/>
                <wp:positionH relativeFrom="column">
                  <wp:posOffset>9085580</wp:posOffset>
                </wp:positionH>
                <wp:positionV relativeFrom="paragraph">
                  <wp:posOffset>538480</wp:posOffset>
                </wp:positionV>
                <wp:extent cx="462845" cy="2417371"/>
                <wp:effectExtent l="0" t="0" r="0" b="2540"/>
                <wp:wrapNone/>
                <wp:docPr id="6" name="Rectangle 5"/>
                <wp:cNvGraphicFramePr/>
                <a:graphic xmlns:a="http://schemas.openxmlformats.org/drawingml/2006/main">
                  <a:graphicData uri="http://schemas.microsoft.com/office/word/2010/wordprocessingShape">
                    <wps:wsp>
                      <wps:cNvSpPr/>
                      <wps:spPr>
                        <a:xfrm>
                          <a:off x="0" y="0"/>
                          <a:ext cx="462845" cy="2417371"/>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604B8" w:rsidRDefault="00A604B8" w:rsidP="00A604B8">
                            <w:pPr>
                              <w:pStyle w:val="NormalWeb"/>
                              <w:spacing w:before="0" w:beforeAutospacing="0" w:after="0" w:afterAutospacing="0"/>
                              <w:jc w:val="center"/>
                            </w:pPr>
                            <w:r>
                              <w:rPr>
                                <w:rFonts w:asciiTheme="minorHAnsi" w:hAnsi="Calibri" w:cstheme="minorBidi"/>
                                <w:color w:val="FFFFFF" w:themeColor="light1"/>
                                <w:kern w:val="24"/>
                                <w:sz w:val="20"/>
                                <w:szCs w:val="20"/>
                              </w:rPr>
                              <w:t>PREAMBLE</w:t>
                            </w:r>
                          </w:p>
                        </w:txbxContent>
                      </wps:txbx>
                      <wps:bodyPr vert="vert" rtlCol="0" anchor="ctr"/>
                    </wps:wsp>
                  </a:graphicData>
                </a:graphic>
              </wp:anchor>
            </w:drawing>
          </mc:Choice>
          <mc:Fallback>
            <w:pict>
              <v:rect w14:anchorId="5D20140B" id="Rectangle 5" o:spid="_x0000_s1028" style="position:absolute;left:0;text-align:left;margin-left:715.4pt;margin-top:42.4pt;width:36.45pt;height:190.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" fillcolor="#2e74b5 [2404]" stroked="f" strokeweight="1pt">
                <v:textbox style="layout-flow:vertical">
                  <w:txbxContent>
                    <w:p w:rsidR="00A604B8" w:rsidRDefault="00A604B8" w:rsidP="00A604B8">
                      <w:pPr>
                        <w:pStyle w:val="NormalWeb"/>
                        <w:spacing w:before="0" w:beforeAutospacing="0" w:after="0" w:afterAutospacing="0"/>
                        <w:jc w:val="center"/>
                      </w:pPr>
                      <w:r>
                        <w:rPr>
                          <w:rFonts w:asciiTheme="minorHAnsi" w:hAnsi="Calibri" w:cstheme="minorBidi"/>
                          <w:color w:val="FFFFFF" w:themeColor="light1"/>
                          <w:kern w:val="24"/>
                          <w:sz w:val="20"/>
                          <w:szCs w:val="20"/>
                        </w:rPr>
                        <w:t>PREAMBLE</w:t>
                      </w:r>
                    </w:p>
                  </w:txbxContent>
                </v:textbox>
              </v:rect>
            </w:pict>
          </mc:Fallback>
        </mc:AlternateContent>
      </w:r>
      <w:r w:rsidRPr="00A604B8">
        <mc:AlternateContent>
          <mc:Choice Requires="wps">
            <w:drawing>
              <wp:anchor distT="0" distB="0" distL="114300" distR="114300" simplePos="0" relativeHeight="251662336" behindDoc="0" locked="0" layoutInCell="1" allowOverlap="1" wp14:anchorId="1A919600" wp14:editId="5E3443AF">
                <wp:simplePos x="0" y="0"/>
                <wp:positionH relativeFrom="column">
                  <wp:posOffset>9085580</wp:posOffset>
                </wp:positionH>
                <wp:positionV relativeFrom="paragraph">
                  <wp:posOffset>4932045</wp:posOffset>
                </wp:positionV>
                <wp:extent cx="462845" cy="1036320"/>
                <wp:effectExtent l="0" t="0" r="0" b="0"/>
                <wp:wrapNone/>
                <wp:docPr id="16" name="Rectangle 15"/>
                <wp:cNvGraphicFramePr/>
                <a:graphic xmlns:a="http://schemas.openxmlformats.org/drawingml/2006/main">
                  <a:graphicData uri="http://schemas.microsoft.com/office/word/2010/wordprocessingShape">
                    <wps:wsp>
                      <wps:cNvSpPr/>
                      <wps:spPr>
                        <a:xfrm>
                          <a:off x="0" y="0"/>
                          <a:ext cx="462845" cy="1036320"/>
                        </a:xfrm>
                        <a:prstGeom prst="rect">
                          <a:avLst/>
                        </a:prstGeom>
                        <a:solidFill>
                          <a:srgbClr val="EAB2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604B8" w:rsidRDefault="00A604B8" w:rsidP="00A604B8">
                            <w:pPr>
                              <w:pStyle w:val="NormalWeb"/>
                              <w:spacing w:before="0" w:beforeAutospacing="0" w:after="0" w:afterAutospacing="0"/>
                              <w:jc w:val="center"/>
                            </w:pPr>
                            <w:r>
                              <w:rPr>
                                <w:rFonts w:asciiTheme="minorHAnsi" w:hAnsi="Calibri" w:cstheme="minorBidi"/>
                                <w:color w:val="FFFFFF" w:themeColor="light1"/>
                                <w:kern w:val="24"/>
                                <w:sz w:val="20"/>
                                <w:szCs w:val="20"/>
                              </w:rPr>
                              <w:t>OUTCOMES</w:t>
                            </w:r>
                          </w:p>
                        </w:txbxContent>
                      </wps:txbx>
                      <wps:bodyPr vert="vert" rtlCol="0" anchor="ctr"/>
                    </wps:wsp>
                  </a:graphicData>
                </a:graphic>
              </wp:anchor>
            </w:drawing>
          </mc:Choice>
          <mc:Fallback>
            <w:pict>
              <v:rect w14:anchorId="1A919600" id="Rectangle 15" o:spid="_x0000_s1029" style="position:absolute;left:0;text-align:left;margin-left:715.4pt;margin-top:388.35pt;width:36.45pt;height:81.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" fillcolor="#eab200" stroked="f" strokeweight="1pt">
                <v:textbox style="layout-flow:vertical">
                  <w:txbxContent>
                    <w:p w:rsidR="00A604B8" w:rsidRDefault="00A604B8" w:rsidP="00A604B8">
                      <w:pPr>
                        <w:pStyle w:val="NormalWeb"/>
                        <w:spacing w:before="0" w:beforeAutospacing="0" w:after="0" w:afterAutospacing="0"/>
                        <w:jc w:val="center"/>
                      </w:pPr>
                      <w:r>
                        <w:rPr>
                          <w:rFonts w:asciiTheme="minorHAnsi" w:hAnsi="Calibri" w:cstheme="minorBidi"/>
                          <w:color w:val="FFFFFF" w:themeColor="light1"/>
                          <w:kern w:val="24"/>
                          <w:sz w:val="20"/>
                          <w:szCs w:val="20"/>
                        </w:rPr>
                        <w:t>OUTCOMES</w:t>
                      </w:r>
                    </w:p>
                  </w:txbxContent>
                </v:textbox>
              </v:rect>
            </w:pict>
          </mc:Fallback>
        </mc:AlternateContent>
      </w:r>
      <w:r w:rsidRPr="00A604B8">
        <w:drawing>
          <wp:anchor distT="0" distB="0" distL="114300" distR="114300" simplePos="0" relativeHeight="251663360" behindDoc="0" locked="0" layoutInCell="1" allowOverlap="1" wp14:anchorId="4E32FB18" wp14:editId="09C8BCFD">
            <wp:simplePos x="0" y="0"/>
            <wp:positionH relativeFrom="column">
              <wp:posOffset>0</wp:posOffset>
            </wp:positionH>
            <wp:positionV relativeFrom="paragraph">
              <wp:posOffset>4932045</wp:posOffset>
            </wp:positionV>
            <wp:extent cx="8945429" cy="1036320"/>
            <wp:effectExtent l="0" t="0" r="8255" b="0"/>
            <wp:wrapNone/>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4"/>
                    <a:stretch>
                      <a:fillRect/>
                    </a:stretch>
                  </pic:blipFill>
                  <pic:spPr>
                    <a:xfrm>
                      <a:off x="0" y="0"/>
                      <a:ext cx="8945429" cy="1036320"/>
                    </a:xfrm>
                    <a:prstGeom prst="rect">
                      <a:avLst/>
                    </a:prstGeom>
                  </pic:spPr>
                </pic:pic>
              </a:graphicData>
            </a:graphic>
          </wp:anchor>
        </w:drawing>
      </w:r>
      <w:r w:rsidRPr="00A604B8">
        <w:drawing>
          <wp:anchor distT="0" distB="0" distL="114300" distR="114300" simplePos="0" relativeHeight="251664384" behindDoc="0" locked="0" layoutInCell="1" allowOverlap="1" wp14:anchorId="3C00DD37" wp14:editId="083362B2">
            <wp:simplePos x="0" y="0"/>
            <wp:positionH relativeFrom="column">
              <wp:posOffset>0</wp:posOffset>
            </wp:positionH>
            <wp:positionV relativeFrom="paragraph">
              <wp:posOffset>3181350</wp:posOffset>
            </wp:positionV>
            <wp:extent cx="8945430" cy="1200464"/>
            <wp:effectExtent l="0" t="0" r="0" b="0"/>
            <wp:wrapNone/>
            <wp:docPr id="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5"/>
                    <a:stretch>
                      <a:fillRect/>
                    </a:stretch>
                  </pic:blipFill>
                  <pic:spPr>
                    <a:xfrm>
                      <a:off x="0" y="0"/>
                      <a:ext cx="8945430" cy="1200464"/>
                    </a:xfrm>
                    <a:prstGeom prst="rect">
                      <a:avLst/>
                    </a:prstGeom>
                  </pic:spPr>
                </pic:pic>
              </a:graphicData>
            </a:graphic>
          </wp:anchor>
        </w:drawing>
      </w:r>
      <w:r w:rsidRPr="00A604B8">
        <mc:AlternateContent>
          <mc:Choice Requires="wps">
            <w:drawing>
              <wp:anchor distT="0" distB="0" distL="114300" distR="114300" simplePos="0" relativeHeight="251665408" behindDoc="0" locked="0" layoutInCell="1" allowOverlap="1" wp14:anchorId="5034F306" wp14:editId="1A5C04C6">
                <wp:simplePos x="0" y="0"/>
                <wp:positionH relativeFrom="column">
                  <wp:posOffset>9085580</wp:posOffset>
                </wp:positionH>
                <wp:positionV relativeFrom="paragraph">
                  <wp:posOffset>3178175</wp:posOffset>
                </wp:positionV>
                <wp:extent cx="462845" cy="1200464"/>
                <wp:effectExtent l="0" t="0" r="0" b="0"/>
                <wp:wrapNone/>
                <wp:docPr id="21" name="Rectangle 20"/>
                <wp:cNvGraphicFramePr/>
                <a:graphic xmlns:a="http://schemas.openxmlformats.org/drawingml/2006/main">
                  <a:graphicData uri="http://schemas.microsoft.com/office/word/2010/wordprocessingShape">
                    <wps:wsp>
                      <wps:cNvSpPr/>
                      <wps:spPr>
                        <a:xfrm>
                          <a:off x="0" y="0"/>
                          <a:ext cx="462845" cy="1200464"/>
                        </a:xfrm>
                        <a:prstGeom prst="rect">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604B8" w:rsidRDefault="00A604B8" w:rsidP="00A604B8">
                            <w:pPr>
                              <w:pStyle w:val="NormalWeb"/>
                              <w:spacing w:before="0" w:beforeAutospacing="0" w:after="0" w:afterAutospacing="0"/>
                              <w:jc w:val="center"/>
                            </w:pPr>
                            <w:r>
                              <w:rPr>
                                <w:rFonts w:asciiTheme="minorHAnsi" w:hAnsi="Calibri" w:cstheme="minorBidi"/>
                                <w:color w:val="FFFFFF" w:themeColor="light1"/>
                                <w:kern w:val="24"/>
                                <w:sz w:val="20"/>
                                <w:szCs w:val="20"/>
                              </w:rPr>
                              <w:t>DESIGN PRINCIPLES</w:t>
                            </w:r>
                          </w:p>
                        </w:txbxContent>
                      </wps:txbx>
                      <wps:bodyPr vert="vert" rtlCol="0" anchor="ctr"/>
                    </wps:wsp>
                  </a:graphicData>
                </a:graphic>
              </wp:anchor>
            </w:drawing>
          </mc:Choice>
          <mc:Fallback>
            <w:pict>
              <v:rect w14:anchorId="5034F306" id="Rectangle 20" o:spid="_x0000_s1030" style="position:absolute;left:0;text-align:left;margin-left:715.4pt;margin-top:250.25pt;width:36.45pt;height:9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" fillcolor="#7030a0" stroked="f" strokeweight="1pt">
                <v:textbox style="layout-flow:vertical">
                  <w:txbxContent>
                    <w:p w:rsidR="00A604B8" w:rsidRDefault="00A604B8" w:rsidP="00A604B8">
                      <w:pPr>
                        <w:pStyle w:val="NormalWeb"/>
                        <w:spacing w:before="0" w:beforeAutospacing="0" w:after="0" w:afterAutospacing="0"/>
                        <w:jc w:val="center"/>
                      </w:pPr>
                      <w:r>
                        <w:rPr>
                          <w:rFonts w:asciiTheme="minorHAnsi" w:hAnsi="Calibri" w:cstheme="minorBidi"/>
                          <w:color w:val="FFFFFF" w:themeColor="light1"/>
                          <w:kern w:val="24"/>
                          <w:sz w:val="20"/>
                          <w:szCs w:val="20"/>
                        </w:rPr>
                        <w:t>DESIGN PRINCIPLES</w:t>
                      </w:r>
                    </w:p>
                  </w:txbxContent>
                </v:textbox>
              </v:rect>
            </w:pict>
          </mc:Fallback>
        </mc:AlternateContent>
      </w:r>
      <w:r w:rsidRPr="00A604B8">
        <mc:AlternateContent>
          <mc:Choice Requires="wps">
            <w:drawing>
              <wp:anchor distT="0" distB="0" distL="114300" distR="114300" simplePos="0" relativeHeight="251666432" behindDoc="0" locked="0" layoutInCell="1" allowOverlap="1" wp14:anchorId="62BF5814" wp14:editId="7506E0B1">
                <wp:simplePos x="0" y="0"/>
                <wp:positionH relativeFrom="column">
                  <wp:posOffset>95885</wp:posOffset>
                </wp:positionH>
                <wp:positionV relativeFrom="paragraph">
                  <wp:posOffset>4394200</wp:posOffset>
                </wp:positionV>
                <wp:extent cx="8753476" cy="505867"/>
                <wp:effectExtent l="0" t="0" r="9525" b="8890"/>
                <wp:wrapNone/>
                <wp:docPr id="7" name="Isosceles Triangle 6"/>
                <wp:cNvGraphicFramePr/>
                <a:graphic xmlns:a="http://schemas.openxmlformats.org/drawingml/2006/main">
                  <a:graphicData uri="http://schemas.microsoft.com/office/word/2010/wordprocessingShape">
                    <wps:wsp>
                      <wps:cNvSpPr/>
                      <wps:spPr>
                        <a:xfrm rot="10800000">
                          <a:off x="0" y="0"/>
                          <a:ext cx="8753476" cy="505867"/>
                        </a:xfrm>
                        <a:prstGeom prst="triangle">
                          <a:avLst>
                            <a:gd name="adj" fmla="val 49898"/>
                          </a:avLst>
                        </a:prstGeom>
                        <a:gradFill flip="none" rotWithShape="1">
                          <a:gsLst>
                            <a:gs pos="0">
                              <a:srgbClr val="7030A0">
                                <a:tint val="66000"/>
                                <a:satMod val="160000"/>
                              </a:srgbClr>
                            </a:gs>
                            <a:gs pos="50000">
                              <a:srgbClr val="7030A0">
                                <a:tint val="44500"/>
                                <a:satMod val="160000"/>
                              </a:srgbClr>
                            </a:gs>
                            <a:gs pos="100000">
                              <a:srgbClr val="7030A0">
                                <a:tint val="23500"/>
                                <a:satMod val="160000"/>
                              </a:srgbClr>
                            </a:gs>
                          </a:gsLst>
                          <a:lin ang="5400000" scaled="1"/>
                          <a:tileRect/>
                        </a:gradFill>
                        <a:ln w="190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2FB1D93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 o:spid="_x0000_s1026" type="#_x0000_t5" style="position:absolute;margin-left:7.55pt;margin-top:346pt;width:689.25pt;height:39.85pt;rotation:180;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" adj="10778" fillcolor="#b196d2" stroked="f" strokeweight="1.5pt">
                <v:fill color2="#e7e1f0" rotate="t" colors="0 #b196d2;.5 #cfc0e2;1 #e7e1f0" focus="100%" type="gradient"/>
              </v:shape>
            </w:pict>
          </mc:Fallback>
        </mc:AlternateContent>
      </w:r>
      <w:bookmarkEnd w:id="0"/>
    </w:p>
    <w:sectPr w:rsidR="00754FB8" w:rsidSect="00A604B8">
      <w:pgSz w:w="16838" w:h="11906" w:orient="landscape"/>
      <w:pgMar w:top="993" w:right="820"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4B8"/>
    <w:rsid w:val="0075249F"/>
    <w:rsid w:val="0094334F"/>
    <w:rsid w:val="00A604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EFAF55-6CCD-4EED-B7DA-48BF8F79B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04B8"/>
    <w:pPr>
      <w:spacing w:before="100" w:beforeAutospacing="1" w:after="100" w:afterAutospacing="1" w:line="240" w:lineRule="auto"/>
    </w:pPr>
    <w:rPr>
      <w:rFonts w:ascii="Times New Roman" w:eastAsiaTheme="minorEastAsia"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customXml" Target="../customXml/item3.xml"/><Relationship Id="rId4" Type="http://schemas.openxmlformats.org/officeDocument/2006/relationships/image" Target="media/image1.png"/><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DOC18-426131</ShareHubID>
    <TaxCatchAll xmlns="166541c0-0594-4e6a-9105-c24d4b6de6f7">
      <Value>1</Value>
    </TaxCatchAll>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hc4a8f51d7584793bcee84017ea96cb3>
    <PMCNotes xmlns="166541c0-0594-4e6a-9105-c24d4b6de6f7" xsi:nil="true"/>
    <NonRecordJustification xmlns="685f9fda-bd71-4433-b331-92feb9553089">None</NonRecordJustification>
  </documentManagement>
</p:properties>
</file>

<file path=customXml/itemProps1.xml><?xml version="1.0" encoding="utf-8"?>
<ds:datastoreItem xmlns:ds="http://schemas.openxmlformats.org/officeDocument/2006/customXml" ds:itemID="{5C35F70D-3AE1-4AA5-BA99-2FA0E31A198B}"/>
</file>

<file path=customXml/itemProps2.xml><?xml version="1.0" encoding="utf-8"?>
<ds:datastoreItem xmlns:ds="http://schemas.openxmlformats.org/officeDocument/2006/customXml" ds:itemID="{2BEE7BBA-816E-4ACA-866A-CFAD3E5C33CF}"/>
</file>

<file path=customXml/itemProps3.xml><?xml version="1.0" encoding="utf-8"?>
<ds:datastoreItem xmlns:ds="http://schemas.openxmlformats.org/officeDocument/2006/customXml" ds:itemID="{406BF077-F499-4D5A-9FE2-1E87E2977B21}"/>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Prime Minister &amp; Cabinet</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Brodie, Lawrence</dc:creator>
  <cp:keywords/>
  <dc:description/>
  <cp:lastModifiedBy>Brodie, Lawrence</cp:lastModifiedBy>
  <cp:revision>1</cp:revision>
  <dcterms:created xsi:type="dcterms:W3CDTF">2018-12-11T06:43:00Z</dcterms:created>
  <dcterms:modified xsi:type="dcterms:W3CDTF">2018-12-11T06:45:00Z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PRMSecurityLevel">
    <vt:lpwstr>1;#UNCLASSIFIED|9c49a7c7-17c7-412f-8077-62dec89b9196</vt:lpwstr>
  </property>
  <property fmtid="{D5CDD505-2E9C-101B-9397-08002B2CF9AE}" pid="3" name="ContentTypeId">
    <vt:lpwstr>0x0101002825A64A6E1845A99A9D8EE8A5686ECB009B58D7D72C3ED54C851955501673F8AC</vt:lpwstr>
  </property>
  <property fmtid="{D5CDD505-2E9C-101B-9397-08002B2CF9AE}" pid="4" name="ESearchTags">
    <vt:lpwstr/>
  </property>
  <property fmtid="{D5CDD505-2E9C-101B-9397-08002B2CF9AE}" pid="5" name="PMC.ESearch.TagGeneratedTime">
    <vt:lpwstr>2018-12-12T15:06:53</vt:lpwstr>
  </property>
  <property fmtid="{D5CDD505-2E9C-101B-9397-08002B2CF9AE}" pid="6" name="HPRMSecurityCaveat">
    <vt:lpwstr/>
  </property>
</Properties>
</file>