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69E53A" w14:textId="77777777" w:rsidR="00DD0C9D" w:rsidRPr="00444D48" w:rsidRDefault="00197A6F" w:rsidP="00DA30DC">
      <w:pPr>
        <w:spacing w:line="276" w:lineRule="auto"/>
        <w:jc w:val="center"/>
        <w:rPr>
          <w:rFonts w:ascii="Arial" w:hAnsi="Arial" w:cs="Arial"/>
          <w:b/>
          <w:sz w:val="36"/>
          <w:szCs w:val="23"/>
        </w:rPr>
      </w:pPr>
      <w:r w:rsidRPr="00444D48">
        <w:rPr>
          <w:rFonts w:ascii="Arial" w:hAnsi="Arial" w:cs="Arial"/>
          <w:b/>
          <w:sz w:val="36"/>
          <w:szCs w:val="23"/>
        </w:rPr>
        <w:t>COAG STATEMEN</w:t>
      </w:r>
      <w:bookmarkStart w:id="0" w:name="_GoBack"/>
      <w:bookmarkEnd w:id="0"/>
      <w:r w:rsidRPr="00444D48">
        <w:rPr>
          <w:rFonts w:ascii="Arial" w:hAnsi="Arial" w:cs="Arial"/>
          <w:b/>
          <w:sz w:val="36"/>
          <w:szCs w:val="23"/>
        </w:rPr>
        <w:t>T</w:t>
      </w:r>
      <w:r w:rsidR="007E5AAC" w:rsidRPr="00444D48">
        <w:rPr>
          <w:rFonts w:ascii="Arial" w:hAnsi="Arial" w:cs="Arial"/>
          <w:b/>
          <w:sz w:val="36"/>
          <w:szCs w:val="23"/>
        </w:rPr>
        <w:t xml:space="preserve"> ON THE CLOSING THE GAP REFRESH</w:t>
      </w:r>
    </w:p>
    <w:p w14:paraId="0C8BBB2A" w14:textId="77777777" w:rsidR="0079488A" w:rsidRPr="00444D48" w:rsidRDefault="007E5AAC" w:rsidP="00DA30DC">
      <w:pPr>
        <w:spacing w:line="276" w:lineRule="auto"/>
        <w:jc w:val="center"/>
        <w:rPr>
          <w:rFonts w:ascii="Arial" w:eastAsia="Arial" w:hAnsi="Arial" w:cs="Arial"/>
          <w:sz w:val="36"/>
          <w:szCs w:val="36"/>
        </w:rPr>
      </w:pPr>
      <w:r w:rsidRPr="00444D48">
        <w:rPr>
          <w:rFonts w:ascii="Arial"/>
          <w:b/>
          <w:spacing w:val="-1"/>
          <w:sz w:val="36"/>
        </w:rPr>
        <w:t xml:space="preserve">12 </w:t>
      </w:r>
      <w:r w:rsidR="00BB1187" w:rsidRPr="00444D48">
        <w:rPr>
          <w:rFonts w:ascii="Arial"/>
          <w:b/>
          <w:spacing w:val="-1"/>
          <w:sz w:val="36"/>
        </w:rPr>
        <w:t>December</w:t>
      </w:r>
      <w:r w:rsidR="0079488A" w:rsidRPr="00444D48">
        <w:rPr>
          <w:rFonts w:ascii="Arial"/>
          <w:b/>
          <w:sz w:val="36"/>
        </w:rPr>
        <w:t xml:space="preserve"> </w:t>
      </w:r>
      <w:r w:rsidR="0079488A" w:rsidRPr="00444D48">
        <w:rPr>
          <w:rFonts w:ascii="Arial"/>
          <w:b/>
          <w:spacing w:val="-1"/>
          <w:sz w:val="36"/>
        </w:rPr>
        <w:t>2018</w:t>
      </w:r>
    </w:p>
    <w:p w14:paraId="6797EC9C" w14:textId="77777777" w:rsidR="0018475B" w:rsidRPr="00444D48" w:rsidRDefault="0018475B" w:rsidP="008B7B4E">
      <w:pPr>
        <w:pStyle w:val="Bullet"/>
        <w:keepNext/>
        <w:numPr>
          <w:ilvl w:val="0"/>
          <w:numId w:val="0"/>
        </w:numPr>
        <w:spacing w:after="160" w:line="264" w:lineRule="auto"/>
        <w:jc w:val="left"/>
        <w:rPr>
          <w:rFonts w:ascii="Arial" w:hAnsi="Arial" w:cs="Arial"/>
          <w:b/>
          <w:szCs w:val="23"/>
        </w:rPr>
      </w:pPr>
      <w:r w:rsidRPr="00444D48">
        <w:rPr>
          <w:rFonts w:ascii="Arial" w:hAnsi="Arial" w:cs="Arial"/>
          <w:b/>
          <w:szCs w:val="23"/>
        </w:rPr>
        <w:t xml:space="preserve">THE CLOSING THE GAP REFRESH </w:t>
      </w:r>
    </w:p>
    <w:p w14:paraId="4A5CF8E9" w14:textId="77777777" w:rsidR="0018475B" w:rsidRPr="00444D48" w:rsidRDefault="0018475B" w:rsidP="008B7B4E">
      <w:pPr>
        <w:pStyle w:val="Bullet"/>
        <w:numPr>
          <w:ilvl w:val="0"/>
          <w:numId w:val="0"/>
        </w:numPr>
        <w:spacing w:after="160" w:line="264" w:lineRule="auto"/>
        <w:jc w:val="left"/>
        <w:rPr>
          <w:rFonts w:ascii="Arial" w:hAnsi="Arial" w:cs="Arial"/>
          <w:szCs w:val="23"/>
        </w:rPr>
      </w:pPr>
      <w:r w:rsidRPr="00444D48">
        <w:rPr>
          <w:rFonts w:ascii="Arial" w:hAnsi="Arial" w:cs="Arial"/>
          <w:szCs w:val="23"/>
        </w:rPr>
        <w:t xml:space="preserve">In December 2016, </w:t>
      </w:r>
      <w:r w:rsidR="00784CB5" w:rsidRPr="00444D48">
        <w:rPr>
          <w:rFonts w:ascii="Arial" w:hAnsi="Arial" w:cs="Arial"/>
          <w:szCs w:val="23"/>
        </w:rPr>
        <w:t xml:space="preserve">the Council of Australian Governments (COAG) agreed to refresh the Closing the Gap agenda </w:t>
      </w:r>
      <w:r w:rsidRPr="00444D48">
        <w:rPr>
          <w:rFonts w:ascii="Arial" w:hAnsi="Arial" w:cs="Arial"/>
          <w:szCs w:val="23"/>
        </w:rPr>
        <w:t xml:space="preserve">ahead of the tenth anniversary of </w:t>
      </w:r>
      <w:r w:rsidR="00784CB5" w:rsidRPr="00444D48">
        <w:rPr>
          <w:rFonts w:ascii="Arial" w:hAnsi="Arial" w:cs="Arial"/>
          <w:szCs w:val="23"/>
        </w:rPr>
        <w:t>the agreement and</w:t>
      </w:r>
      <w:r w:rsidRPr="00444D48">
        <w:rPr>
          <w:rFonts w:ascii="Arial" w:hAnsi="Arial" w:cs="Arial"/>
          <w:szCs w:val="23"/>
        </w:rPr>
        <w:t xml:space="preserve"> fo</w:t>
      </w:r>
      <w:r w:rsidR="00784CB5" w:rsidRPr="00444D48">
        <w:rPr>
          <w:rFonts w:ascii="Arial" w:hAnsi="Arial" w:cs="Arial"/>
          <w:szCs w:val="23"/>
        </w:rPr>
        <w:t>ur of the seven targets expiring in 2018.</w:t>
      </w:r>
      <w:r w:rsidRPr="00444D48">
        <w:rPr>
          <w:rFonts w:ascii="Arial" w:hAnsi="Arial" w:cs="Arial"/>
          <w:szCs w:val="23"/>
        </w:rPr>
        <w:t xml:space="preserve"> In June 2017, COAG agreed to a strengths-based approach and to ensure Aboriginal and Torres Strait Islander people</w:t>
      </w:r>
      <w:r w:rsidR="00723E56" w:rsidRPr="00444D48">
        <w:rPr>
          <w:rFonts w:ascii="Arial" w:hAnsi="Arial" w:cs="Arial"/>
          <w:szCs w:val="23"/>
        </w:rPr>
        <w:t>s</w:t>
      </w:r>
      <w:r w:rsidRPr="00444D48" w:rsidDel="004928F4">
        <w:rPr>
          <w:rFonts w:ascii="Arial" w:hAnsi="Arial" w:cs="Arial"/>
          <w:szCs w:val="23"/>
        </w:rPr>
        <w:t xml:space="preserve"> </w:t>
      </w:r>
      <w:r w:rsidRPr="00444D48">
        <w:rPr>
          <w:rFonts w:ascii="Arial" w:hAnsi="Arial" w:cs="Arial"/>
          <w:szCs w:val="23"/>
        </w:rPr>
        <w:t xml:space="preserve">were at the heart of the development and implementation of the next phase of Closing the Gap. </w:t>
      </w:r>
    </w:p>
    <w:p w14:paraId="6BC5CD1F" w14:textId="77777777" w:rsidR="0018475B" w:rsidRPr="00444D48" w:rsidRDefault="0018475B" w:rsidP="003B4822">
      <w:pPr>
        <w:pStyle w:val="Bullet"/>
        <w:numPr>
          <w:ilvl w:val="0"/>
          <w:numId w:val="0"/>
        </w:numPr>
        <w:spacing w:after="160" w:line="264" w:lineRule="auto"/>
        <w:jc w:val="left"/>
        <w:rPr>
          <w:rFonts w:ascii="Arial" w:hAnsi="Arial" w:cs="Arial"/>
          <w:szCs w:val="23"/>
        </w:rPr>
      </w:pPr>
      <w:r w:rsidRPr="00444D48">
        <w:rPr>
          <w:rFonts w:ascii="Arial" w:hAnsi="Arial" w:cs="Arial"/>
          <w:szCs w:val="23"/>
        </w:rPr>
        <w:t xml:space="preserve">In 2018, a Special Gathering of prominent Aboriginal and Torres Strait Islander Australians presented COAG with a statement setting out priorities for a </w:t>
      </w:r>
      <w:r w:rsidRPr="00444D48">
        <w:rPr>
          <w:rFonts w:ascii="Arial" w:hAnsi="Arial" w:cs="Arial"/>
        </w:rPr>
        <w:t>new Closing the Gap agenda</w:t>
      </w:r>
      <w:r w:rsidR="0079488A" w:rsidRPr="00444D48">
        <w:rPr>
          <w:rFonts w:ascii="Arial" w:hAnsi="Arial" w:cs="Arial"/>
          <w:szCs w:val="23"/>
        </w:rPr>
        <w:t>. The </w:t>
      </w:r>
      <w:r w:rsidR="00580137" w:rsidRPr="00444D48">
        <w:rPr>
          <w:rFonts w:ascii="Arial" w:hAnsi="Arial" w:cs="Arial"/>
          <w:szCs w:val="23"/>
        </w:rPr>
        <w:t>s</w:t>
      </w:r>
      <w:r w:rsidRPr="00444D48">
        <w:rPr>
          <w:rFonts w:ascii="Arial" w:hAnsi="Arial" w:cs="Arial"/>
          <w:szCs w:val="23"/>
        </w:rPr>
        <w:t xml:space="preserve">tatement </w:t>
      </w:r>
      <w:r w:rsidR="006A726A" w:rsidRPr="00444D48">
        <w:rPr>
          <w:rFonts w:ascii="Arial" w:hAnsi="Arial" w:cs="Arial"/>
          <w:szCs w:val="23"/>
        </w:rPr>
        <w:t>called for</w:t>
      </w:r>
      <w:r w:rsidRPr="00444D48">
        <w:rPr>
          <w:rFonts w:ascii="Arial" w:hAnsi="Arial" w:cs="Arial"/>
          <w:szCs w:val="23"/>
        </w:rPr>
        <w:t xml:space="preserve"> the next phase of Closing the Gap </w:t>
      </w:r>
      <w:r w:rsidR="006A726A" w:rsidRPr="00444D48">
        <w:rPr>
          <w:rFonts w:ascii="Arial" w:hAnsi="Arial" w:cs="Arial"/>
          <w:szCs w:val="23"/>
        </w:rPr>
        <w:t>to</w:t>
      </w:r>
      <w:r w:rsidRPr="00444D48">
        <w:rPr>
          <w:rFonts w:ascii="Arial" w:hAnsi="Arial" w:cs="Arial"/>
          <w:szCs w:val="23"/>
        </w:rPr>
        <w:t xml:space="preserve"> be guided by the principles of empowerment and self-determination and deliver a community-led, strengths-based strategy that enables Aboriginal and Torres Strait Islander people</w:t>
      </w:r>
      <w:r w:rsidR="00723E56" w:rsidRPr="00444D48">
        <w:rPr>
          <w:rFonts w:ascii="Arial" w:hAnsi="Arial" w:cs="Arial"/>
          <w:szCs w:val="23"/>
        </w:rPr>
        <w:t>s</w:t>
      </w:r>
      <w:r w:rsidRPr="00444D48">
        <w:rPr>
          <w:rFonts w:ascii="Arial" w:hAnsi="Arial" w:cs="Arial"/>
          <w:szCs w:val="23"/>
        </w:rPr>
        <w:t xml:space="preserve"> to move beyond surviving to thriving. </w:t>
      </w:r>
    </w:p>
    <w:p w14:paraId="1E5B0D3C" w14:textId="77777777" w:rsidR="003F37E7" w:rsidRPr="00444D48" w:rsidRDefault="00340ACB" w:rsidP="003B4822">
      <w:pPr>
        <w:pStyle w:val="Bullet"/>
        <w:numPr>
          <w:ilvl w:val="0"/>
          <w:numId w:val="0"/>
        </w:numPr>
        <w:spacing w:after="160" w:line="264" w:lineRule="auto"/>
        <w:jc w:val="left"/>
        <w:rPr>
          <w:rFonts w:ascii="Arial" w:hAnsi="Arial" w:cs="Arial"/>
          <w:szCs w:val="23"/>
        </w:rPr>
      </w:pPr>
      <w:r w:rsidRPr="00444D48">
        <w:rPr>
          <w:rFonts w:ascii="Arial" w:hAnsi="Arial" w:cs="Arial"/>
          <w:szCs w:val="23"/>
        </w:rPr>
        <w:t>Since the Special Gathering</w:t>
      </w:r>
      <w:r w:rsidR="005B090E" w:rsidRPr="00444D48">
        <w:rPr>
          <w:rFonts w:ascii="Arial" w:hAnsi="Arial" w:cs="Arial"/>
          <w:szCs w:val="23"/>
        </w:rPr>
        <w:t xml:space="preserve"> identified priorities</w:t>
      </w:r>
      <w:r w:rsidRPr="00444D48">
        <w:rPr>
          <w:rFonts w:ascii="Arial" w:hAnsi="Arial" w:cs="Arial"/>
          <w:szCs w:val="23"/>
        </w:rPr>
        <w:t>,</w:t>
      </w:r>
      <w:r w:rsidR="001221F7" w:rsidRPr="00444D48">
        <w:rPr>
          <w:rFonts w:ascii="Arial" w:hAnsi="Arial" w:cs="Arial"/>
          <w:szCs w:val="23"/>
        </w:rPr>
        <w:t xml:space="preserve"> all governments have worked together to develop a set of outcomes and measures for inclusion in the Closing the Gap Refresh. </w:t>
      </w:r>
      <w:r w:rsidR="00CF65BA" w:rsidRPr="00444D48">
        <w:rPr>
          <w:rFonts w:ascii="Arial" w:hAnsi="Arial" w:cs="Arial"/>
          <w:szCs w:val="23"/>
        </w:rPr>
        <w:t xml:space="preserve">COAG has </w:t>
      </w:r>
      <w:r w:rsidR="00580137" w:rsidRPr="00444D48">
        <w:rPr>
          <w:rFonts w:ascii="Arial" w:hAnsi="Arial" w:cs="Arial"/>
          <w:szCs w:val="23"/>
        </w:rPr>
        <w:t xml:space="preserve">now </w:t>
      </w:r>
      <w:r w:rsidR="001221F7" w:rsidRPr="00444D48">
        <w:rPr>
          <w:rFonts w:ascii="Arial" w:hAnsi="Arial" w:cs="Arial"/>
          <w:szCs w:val="23"/>
        </w:rPr>
        <w:t>agreed</w:t>
      </w:r>
      <w:r w:rsidR="000D760F" w:rsidRPr="00444D48">
        <w:rPr>
          <w:rFonts w:ascii="Arial" w:hAnsi="Arial" w:cs="Arial"/>
          <w:szCs w:val="23"/>
        </w:rPr>
        <w:t xml:space="preserve"> </w:t>
      </w:r>
      <w:r w:rsidR="00D47777" w:rsidRPr="00444D48">
        <w:rPr>
          <w:rFonts w:ascii="Arial" w:hAnsi="Arial" w:cs="Arial"/>
          <w:szCs w:val="23"/>
        </w:rPr>
        <w:t xml:space="preserve">draft </w:t>
      </w:r>
      <w:r w:rsidRPr="00444D48">
        <w:rPr>
          <w:rFonts w:ascii="Arial" w:hAnsi="Arial" w:cs="Arial"/>
          <w:szCs w:val="23"/>
        </w:rPr>
        <w:t xml:space="preserve">targets </w:t>
      </w:r>
      <w:r w:rsidR="005B090E" w:rsidRPr="00444D48">
        <w:rPr>
          <w:rFonts w:ascii="Arial" w:hAnsi="Arial" w:cs="Arial"/>
          <w:szCs w:val="23"/>
        </w:rPr>
        <w:t xml:space="preserve">for </w:t>
      </w:r>
      <w:r w:rsidR="00AC71F3" w:rsidRPr="00444D48">
        <w:rPr>
          <w:rFonts w:ascii="Arial" w:hAnsi="Arial" w:cs="Arial"/>
          <w:szCs w:val="23"/>
        </w:rPr>
        <w:t xml:space="preserve">further </w:t>
      </w:r>
      <w:r w:rsidR="005B090E" w:rsidRPr="00444D48">
        <w:rPr>
          <w:rFonts w:ascii="Arial" w:hAnsi="Arial" w:cs="Arial"/>
          <w:szCs w:val="23"/>
        </w:rPr>
        <w:t xml:space="preserve">consultation to ensure they align with Aboriginal and Torres Strait Islander </w:t>
      </w:r>
      <w:r w:rsidR="001603D2" w:rsidRPr="00444D48">
        <w:rPr>
          <w:rFonts w:ascii="Arial" w:hAnsi="Arial" w:cs="Arial"/>
          <w:szCs w:val="23"/>
        </w:rPr>
        <w:t>people</w:t>
      </w:r>
      <w:r w:rsidR="00723E56" w:rsidRPr="00444D48">
        <w:rPr>
          <w:rFonts w:ascii="Arial" w:hAnsi="Arial" w:cs="Arial"/>
          <w:szCs w:val="23"/>
        </w:rPr>
        <w:t>s</w:t>
      </w:r>
      <w:r w:rsidR="001603D2" w:rsidRPr="00444D48">
        <w:rPr>
          <w:rFonts w:ascii="Arial" w:hAnsi="Arial" w:cs="Arial"/>
          <w:szCs w:val="23"/>
        </w:rPr>
        <w:t xml:space="preserve"> and communities’ </w:t>
      </w:r>
      <w:r w:rsidR="005B090E" w:rsidRPr="00444D48">
        <w:rPr>
          <w:rFonts w:ascii="Arial" w:hAnsi="Arial" w:cs="Arial"/>
          <w:szCs w:val="23"/>
        </w:rPr>
        <w:t>priorities</w:t>
      </w:r>
      <w:r w:rsidR="00AC71F3" w:rsidRPr="00444D48">
        <w:rPr>
          <w:rFonts w:ascii="Arial" w:hAnsi="Arial" w:cs="Arial"/>
          <w:szCs w:val="23"/>
        </w:rPr>
        <w:t xml:space="preserve"> and ambition as a basis for developing action plans</w:t>
      </w:r>
      <w:r w:rsidR="005B090E" w:rsidRPr="00444D48">
        <w:rPr>
          <w:rFonts w:ascii="Arial" w:hAnsi="Arial" w:cs="Arial"/>
          <w:szCs w:val="23"/>
        </w:rPr>
        <w:t xml:space="preserve">. </w:t>
      </w:r>
    </w:p>
    <w:p w14:paraId="26176AB9" w14:textId="77777777" w:rsidR="0085023E" w:rsidRPr="00444D48" w:rsidRDefault="0085023E" w:rsidP="003B4822">
      <w:pPr>
        <w:pStyle w:val="Bullet"/>
        <w:numPr>
          <w:ilvl w:val="0"/>
          <w:numId w:val="0"/>
        </w:numPr>
        <w:spacing w:after="160" w:line="264" w:lineRule="auto"/>
        <w:jc w:val="left"/>
        <w:rPr>
          <w:rFonts w:ascii="Arial" w:hAnsi="Arial" w:cs="Arial"/>
          <w:szCs w:val="23"/>
        </w:rPr>
      </w:pPr>
      <w:r w:rsidRPr="00444D48">
        <w:rPr>
          <w:rFonts w:ascii="Arial" w:hAnsi="Arial" w:cs="Arial"/>
          <w:b/>
          <w:szCs w:val="23"/>
        </w:rPr>
        <w:t>PARTNERSHIPS WITH ABORIGINAL AND TORRES STRAIT ISLANDER AUSTRALIA</w:t>
      </w:r>
    </w:p>
    <w:p w14:paraId="6B661053" w14:textId="77777777" w:rsidR="00985CBB" w:rsidRPr="00444D48" w:rsidRDefault="00985CBB" w:rsidP="003B4822">
      <w:pPr>
        <w:pStyle w:val="Bullet"/>
        <w:numPr>
          <w:ilvl w:val="0"/>
          <w:numId w:val="0"/>
        </w:numPr>
        <w:spacing w:after="160" w:line="264" w:lineRule="auto"/>
        <w:jc w:val="left"/>
        <w:rPr>
          <w:rFonts w:ascii="Arial" w:hAnsi="Arial" w:cs="Arial"/>
          <w:szCs w:val="23"/>
        </w:rPr>
      </w:pPr>
      <w:r w:rsidRPr="00444D48">
        <w:rPr>
          <w:rFonts w:ascii="Arial" w:hAnsi="Arial" w:cs="Arial"/>
          <w:szCs w:val="23"/>
        </w:rPr>
        <w:t>COAG recognises that in order to effect real change, governments must work collaboratively and in genuine</w:t>
      </w:r>
      <w:r w:rsidR="007A5359" w:rsidRPr="00444D48">
        <w:rPr>
          <w:rFonts w:ascii="Arial" w:hAnsi="Arial" w:cs="Arial"/>
          <w:szCs w:val="23"/>
        </w:rPr>
        <w:t>, formal</w:t>
      </w:r>
      <w:r w:rsidRPr="00444D48">
        <w:rPr>
          <w:rFonts w:ascii="Arial" w:hAnsi="Arial" w:cs="Arial"/>
          <w:szCs w:val="23"/>
        </w:rPr>
        <w:t xml:space="preserve"> partnership with Aboriginal and Torres Strait Islander peoples as they are the essential agents of change. </w:t>
      </w:r>
      <w:r w:rsidR="007A5359" w:rsidRPr="00444D48">
        <w:rPr>
          <w:rFonts w:ascii="Arial" w:hAnsi="Arial" w:cs="Arial"/>
          <w:szCs w:val="23"/>
        </w:rPr>
        <w:t xml:space="preserve">This formal </w:t>
      </w:r>
      <w:r w:rsidRPr="00444D48">
        <w:rPr>
          <w:rFonts w:ascii="Arial" w:hAnsi="Arial" w:cs="Arial"/>
          <w:szCs w:val="23"/>
        </w:rPr>
        <w:t>partnership must be based on mutual respect between parties and an acceptance that direct engagement and negotiation will be the preferred pathway to productive and effective agreements. Aboriginal and Torres Strait Islander peoples must play an integral part in the making of the decisions</w:t>
      </w:r>
      <w:r w:rsidR="0085023E" w:rsidRPr="00444D48">
        <w:rPr>
          <w:rFonts w:ascii="Arial" w:hAnsi="Arial" w:cs="Arial"/>
          <w:szCs w:val="23"/>
        </w:rPr>
        <w:t xml:space="preserve"> that affect their lives – this </w:t>
      </w:r>
      <w:r w:rsidRPr="00514081">
        <w:rPr>
          <w:rFonts w:ascii="Arial" w:hAnsi="Arial" w:cs="Arial"/>
          <w:szCs w:val="23"/>
        </w:rPr>
        <w:t xml:space="preserve">is </w:t>
      </w:r>
      <w:r w:rsidR="001E6E58" w:rsidRPr="00514081">
        <w:rPr>
          <w:rFonts w:ascii="Arial" w:hAnsi="Arial" w:cs="Arial"/>
          <w:szCs w:val="23"/>
        </w:rPr>
        <w:t>critical to closing</w:t>
      </w:r>
      <w:r w:rsidRPr="00444D48">
        <w:rPr>
          <w:rFonts w:ascii="Arial" w:hAnsi="Arial" w:cs="Arial"/>
          <w:szCs w:val="23"/>
        </w:rPr>
        <w:t xml:space="preserve"> the gap.</w:t>
      </w:r>
    </w:p>
    <w:p w14:paraId="458D272E" w14:textId="77777777" w:rsidR="00153B3D" w:rsidRPr="00444D48" w:rsidRDefault="00153B3D" w:rsidP="003B4822">
      <w:pPr>
        <w:pStyle w:val="Bullet"/>
        <w:numPr>
          <w:ilvl w:val="0"/>
          <w:numId w:val="0"/>
        </w:numPr>
        <w:spacing w:after="160" w:line="264" w:lineRule="auto"/>
        <w:jc w:val="left"/>
        <w:rPr>
          <w:rFonts w:ascii="Arial" w:hAnsi="Arial" w:cs="Arial"/>
          <w:szCs w:val="23"/>
        </w:rPr>
      </w:pPr>
      <w:r w:rsidRPr="00444D48">
        <w:rPr>
          <w:rFonts w:ascii="Arial" w:hAnsi="Arial" w:cs="Arial"/>
          <w:szCs w:val="23"/>
        </w:rPr>
        <w:t xml:space="preserve">COAG will ensure that the design and implementation of the next phase of Closing the Gap is a true partnership. </w:t>
      </w:r>
      <w:r w:rsidR="007A5359" w:rsidRPr="00444D48">
        <w:rPr>
          <w:rFonts w:ascii="Arial" w:hAnsi="Arial" w:cs="Arial"/>
          <w:szCs w:val="23"/>
        </w:rPr>
        <w:t xml:space="preserve">Governments and Aboriginal and Torres Strait Islander people will share ownership of and responsibility for a jointly agreed framework and targets and ongoing monitoring of the Closing the Gap </w:t>
      </w:r>
      <w:r w:rsidR="001E6E58">
        <w:rPr>
          <w:rFonts w:ascii="Arial" w:hAnsi="Arial" w:cs="Arial"/>
          <w:szCs w:val="23"/>
        </w:rPr>
        <w:t>agenda</w:t>
      </w:r>
      <w:r w:rsidR="007A5359" w:rsidRPr="00444D48">
        <w:rPr>
          <w:rFonts w:ascii="Arial" w:hAnsi="Arial" w:cs="Arial"/>
          <w:szCs w:val="23"/>
        </w:rPr>
        <w:t xml:space="preserve">. </w:t>
      </w:r>
      <w:r w:rsidRPr="00444D48">
        <w:rPr>
          <w:rFonts w:ascii="Arial" w:hAnsi="Arial" w:cs="Arial"/>
          <w:szCs w:val="23"/>
        </w:rPr>
        <w:t>The refreshed Closing the Gap agenda recognises and builds on the strength and resilience of Aboriginal and Torres Strait Islander people</w:t>
      </w:r>
      <w:r w:rsidR="00723E56" w:rsidRPr="00444D48">
        <w:rPr>
          <w:rFonts w:ascii="Arial" w:hAnsi="Arial" w:cs="Arial"/>
          <w:szCs w:val="23"/>
        </w:rPr>
        <w:t>s</w:t>
      </w:r>
      <w:r w:rsidRPr="00444D48">
        <w:rPr>
          <w:rFonts w:ascii="Arial" w:hAnsi="Arial" w:cs="Arial"/>
          <w:szCs w:val="23"/>
        </w:rPr>
        <w:t xml:space="preserve"> and communities</w:t>
      </w:r>
      <w:r w:rsidR="003145A2" w:rsidRPr="00444D48">
        <w:rPr>
          <w:rFonts w:ascii="Arial" w:hAnsi="Arial" w:cs="Arial"/>
          <w:szCs w:val="23"/>
        </w:rPr>
        <w:t>.</w:t>
      </w:r>
    </w:p>
    <w:p w14:paraId="5324E042" w14:textId="77777777" w:rsidR="00985CBB" w:rsidRPr="00444D48" w:rsidRDefault="00985CBB" w:rsidP="00985CBB">
      <w:pPr>
        <w:spacing w:line="264" w:lineRule="auto"/>
        <w:rPr>
          <w:rFonts w:ascii="Arial" w:hAnsi="Arial" w:cs="Arial"/>
          <w:b/>
          <w:sz w:val="23"/>
          <w:szCs w:val="23"/>
        </w:rPr>
      </w:pPr>
      <w:r w:rsidRPr="00444D48" w:rsidDel="00985CBB">
        <w:rPr>
          <w:rFonts w:ascii="Arial" w:hAnsi="Arial" w:cs="Arial"/>
          <w:b/>
          <w:sz w:val="23"/>
          <w:szCs w:val="23"/>
        </w:rPr>
        <w:t>CLOSING THE GAP – A VISION FOR THE FUTURE</w:t>
      </w:r>
    </w:p>
    <w:p w14:paraId="48BC27EE" w14:textId="77777777" w:rsidR="0064372A" w:rsidRPr="00444D48" w:rsidRDefault="00061449" w:rsidP="008B7B4E">
      <w:pPr>
        <w:spacing w:line="264" w:lineRule="auto"/>
        <w:rPr>
          <w:rFonts w:ascii="Arial" w:hAnsi="Arial" w:cs="Arial"/>
          <w:sz w:val="23"/>
          <w:szCs w:val="23"/>
        </w:rPr>
      </w:pPr>
      <w:r w:rsidRPr="00444D48">
        <w:rPr>
          <w:rFonts w:ascii="Arial" w:hAnsi="Arial" w:cs="Arial"/>
          <w:sz w:val="23"/>
          <w:szCs w:val="23"/>
        </w:rPr>
        <w:t xml:space="preserve">Closing the Gap requires us </w:t>
      </w:r>
      <w:r w:rsidR="00E12515" w:rsidRPr="00444D48">
        <w:rPr>
          <w:rFonts w:ascii="Arial" w:hAnsi="Arial" w:cs="Arial"/>
          <w:sz w:val="23"/>
          <w:szCs w:val="23"/>
        </w:rPr>
        <w:t xml:space="preserve">to </w:t>
      </w:r>
      <w:r w:rsidR="00BA4DEE" w:rsidRPr="00444D48">
        <w:rPr>
          <w:rFonts w:ascii="Arial" w:hAnsi="Arial" w:cs="Arial"/>
          <w:sz w:val="23"/>
          <w:szCs w:val="23"/>
        </w:rPr>
        <w:t>raise</w:t>
      </w:r>
      <w:r w:rsidR="00BA4DEE" w:rsidRPr="00444D48" w:rsidDel="00BA4DEE">
        <w:rPr>
          <w:rFonts w:ascii="Arial" w:hAnsi="Arial" w:cs="Arial"/>
          <w:sz w:val="23"/>
          <w:szCs w:val="23"/>
        </w:rPr>
        <w:t xml:space="preserve"> </w:t>
      </w:r>
      <w:r w:rsidR="00E12515" w:rsidRPr="00444D48">
        <w:rPr>
          <w:rFonts w:ascii="Arial" w:hAnsi="Arial" w:cs="Arial"/>
          <w:sz w:val="23"/>
          <w:szCs w:val="23"/>
        </w:rPr>
        <w:t>our sights from a</w:t>
      </w:r>
      <w:r w:rsidR="006B117A" w:rsidRPr="00444D48">
        <w:rPr>
          <w:rFonts w:ascii="Arial" w:hAnsi="Arial" w:cs="Arial"/>
          <w:sz w:val="23"/>
          <w:szCs w:val="23"/>
        </w:rPr>
        <w:t xml:space="preserve"> </w:t>
      </w:r>
      <w:r w:rsidR="00E12515" w:rsidRPr="00444D48">
        <w:rPr>
          <w:rFonts w:ascii="Arial" w:hAnsi="Arial" w:cs="Arial"/>
          <w:sz w:val="23"/>
          <w:szCs w:val="23"/>
        </w:rPr>
        <w:t>focus on problems and deficits</w:t>
      </w:r>
      <w:r w:rsidR="00CC260C" w:rsidRPr="00444D48">
        <w:rPr>
          <w:rFonts w:ascii="Arial" w:hAnsi="Arial" w:cs="Arial"/>
          <w:sz w:val="23"/>
          <w:szCs w:val="23"/>
        </w:rPr>
        <w:t>,</w:t>
      </w:r>
      <w:r w:rsidR="00E12515" w:rsidRPr="00444D48">
        <w:rPr>
          <w:rFonts w:ascii="Arial" w:hAnsi="Arial" w:cs="Arial"/>
          <w:sz w:val="23"/>
          <w:szCs w:val="23"/>
        </w:rPr>
        <w:t xml:space="preserve"> to </w:t>
      </w:r>
      <w:r w:rsidR="006B117A" w:rsidRPr="00444D48">
        <w:rPr>
          <w:rFonts w:ascii="Arial" w:hAnsi="Arial" w:cs="Arial"/>
          <w:sz w:val="23"/>
          <w:szCs w:val="23"/>
        </w:rPr>
        <w:t xml:space="preserve">actively </w:t>
      </w:r>
      <w:r w:rsidR="00E12515" w:rsidRPr="00444D48">
        <w:rPr>
          <w:rFonts w:ascii="Arial" w:hAnsi="Arial" w:cs="Arial"/>
          <w:sz w:val="23"/>
          <w:szCs w:val="23"/>
        </w:rPr>
        <w:t xml:space="preserve">supporting </w:t>
      </w:r>
      <w:r w:rsidR="00930DB1" w:rsidRPr="00444D48">
        <w:rPr>
          <w:rFonts w:ascii="Arial" w:hAnsi="Arial" w:cs="Arial"/>
          <w:sz w:val="23"/>
          <w:szCs w:val="23"/>
        </w:rPr>
        <w:t xml:space="preserve">and realising </w:t>
      </w:r>
      <w:r w:rsidR="00384270" w:rsidRPr="00444D48">
        <w:rPr>
          <w:rFonts w:ascii="Arial" w:hAnsi="Arial" w:cs="Arial"/>
          <w:sz w:val="23"/>
          <w:szCs w:val="23"/>
        </w:rPr>
        <w:t>the</w:t>
      </w:r>
      <w:r w:rsidR="006B117A" w:rsidRPr="00444D48">
        <w:rPr>
          <w:rFonts w:ascii="Arial" w:hAnsi="Arial" w:cs="Arial"/>
          <w:sz w:val="23"/>
          <w:szCs w:val="23"/>
        </w:rPr>
        <w:t xml:space="preserve"> </w:t>
      </w:r>
      <w:r w:rsidR="00E12515" w:rsidRPr="00444D48">
        <w:rPr>
          <w:rFonts w:ascii="Arial" w:hAnsi="Arial" w:cs="Arial"/>
          <w:sz w:val="23"/>
          <w:szCs w:val="23"/>
        </w:rPr>
        <w:t xml:space="preserve">full participation </w:t>
      </w:r>
      <w:r w:rsidR="00384270" w:rsidRPr="00444D48">
        <w:rPr>
          <w:rFonts w:ascii="Arial" w:hAnsi="Arial" w:cs="Arial"/>
          <w:sz w:val="23"/>
          <w:szCs w:val="23"/>
        </w:rPr>
        <w:t>of Aboriginal and Torres Strait Islander</w:t>
      </w:r>
      <w:r w:rsidR="00CC260C" w:rsidRPr="00444D48">
        <w:rPr>
          <w:rFonts w:ascii="Arial" w:hAnsi="Arial" w:cs="Arial"/>
          <w:sz w:val="23"/>
          <w:szCs w:val="23"/>
        </w:rPr>
        <w:t xml:space="preserve"> peoples</w:t>
      </w:r>
      <w:r w:rsidR="00384270" w:rsidRPr="00444D48">
        <w:rPr>
          <w:rFonts w:ascii="Arial" w:hAnsi="Arial" w:cs="Arial"/>
          <w:sz w:val="23"/>
          <w:szCs w:val="23"/>
        </w:rPr>
        <w:t xml:space="preserve"> </w:t>
      </w:r>
      <w:r w:rsidR="00E12515" w:rsidRPr="00444D48">
        <w:rPr>
          <w:rFonts w:ascii="Arial" w:hAnsi="Arial" w:cs="Arial"/>
          <w:sz w:val="23"/>
          <w:szCs w:val="23"/>
        </w:rPr>
        <w:t xml:space="preserve">in the social and economic life of the nation. </w:t>
      </w:r>
      <w:r w:rsidR="00CC260C" w:rsidRPr="00444D48">
        <w:rPr>
          <w:rFonts w:ascii="Arial" w:hAnsi="Arial" w:cs="Arial"/>
          <w:sz w:val="23"/>
          <w:szCs w:val="23"/>
        </w:rPr>
        <w:t>COAG recognises there is a</w:t>
      </w:r>
      <w:r w:rsidR="008E0DE6" w:rsidRPr="00444D48">
        <w:rPr>
          <w:rFonts w:ascii="Arial" w:hAnsi="Arial" w:cs="Arial"/>
          <w:sz w:val="23"/>
          <w:szCs w:val="23"/>
        </w:rPr>
        <w:t xml:space="preserve"> need for</w:t>
      </w:r>
      <w:r w:rsidR="00D81479" w:rsidRPr="00444D48">
        <w:rPr>
          <w:rFonts w:ascii="Arial" w:hAnsi="Arial" w:cs="Arial"/>
          <w:sz w:val="23"/>
          <w:szCs w:val="23"/>
        </w:rPr>
        <w:t xml:space="preserve"> a</w:t>
      </w:r>
      <w:r w:rsidR="00CC7C45" w:rsidRPr="00444D48">
        <w:rPr>
          <w:rFonts w:ascii="Arial" w:hAnsi="Arial" w:cs="Arial"/>
          <w:sz w:val="23"/>
          <w:szCs w:val="23"/>
        </w:rPr>
        <w:t xml:space="preserve"> cohesive national </w:t>
      </w:r>
      <w:r w:rsidR="00FC1CC5" w:rsidRPr="00444D48">
        <w:rPr>
          <w:rFonts w:ascii="Arial" w:hAnsi="Arial" w:cs="Arial"/>
          <w:sz w:val="23"/>
          <w:szCs w:val="23"/>
        </w:rPr>
        <w:t>agenda</w:t>
      </w:r>
      <w:r w:rsidR="00CC7C45" w:rsidRPr="00444D48">
        <w:rPr>
          <w:rFonts w:ascii="Arial" w:hAnsi="Arial" w:cs="Arial"/>
          <w:sz w:val="23"/>
          <w:szCs w:val="23"/>
        </w:rPr>
        <w:t xml:space="preserve"> focussed on important priorities for </w:t>
      </w:r>
      <w:r w:rsidR="00BF0871" w:rsidRPr="00444D48">
        <w:rPr>
          <w:rFonts w:ascii="Arial" w:hAnsi="Arial" w:cs="Arial"/>
          <w:sz w:val="23"/>
          <w:szCs w:val="23"/>
        </w:rPr>
        <w:t>enabling</w:t>
      </w:r>
      <w:r w:rsidR="006B117A" w:rsidRPr="00444D48">
        <w:rPr>
          <w:rFonts w:ascii="Arial" w:hAnsi="Arial" w:cs="Arial"/>
          <w:sz w:val="23"/>
          <w:szCs w:val="23"/>
        </w:rPr>
        <w:t xml:space="preserve"> </w:t>
      </w:r>
      <w:r w:rsidR="00384270" w:rsidRPr="00444D48">
        <w:rPr>
          <w:rFonts w:ascii="Arial" w:hAnsi="Arial" w:cs="Arial"/>
          <w:sz w:val="23"/>
          <w:szCs w:val="23"/>
        </w:rPr>
        <w:t>Aboriginal and Torres Strait Islander</w:t>
      </w:r>
      <w:r w:rsidR="00BF0871" w:rsidRPr="00444D48">
        <w:rPr>
          <w:rFonts w:ascii="Arial" w:hAnsi="Arial" w:cs="Arial"/>
          <w:sz w:val="23"/>
          <w:szCs w:val="23"/>
        </w:rPr>
        <w:t xml:space="preserve"> families, children and</w:t>
      </w:r>
      <w:r w:rsidR="00CC7C45" w:rsidRPr="00444D48">
        <w:rPr>
          <w:rFonts w:ascii="Arial" w:hAnsi="Arial" w:cs="Arial"/>
          <w:sz w:val="23"/>
          <w:szCs w:val="23"/>
        </w:rPr>
        <w:t xml:space="preserve"> communities</w:t>
      </w:r>
      <w:r w:rsidR="00BF0871" w:rsidRPr="00444D48">
        <w:rPr>
          <w:rFonts w:ascii="Arial" w:hAnsi="Arial" w:cs="Arial"/>
          <w:sz w:val="23"/>
          <w:szCs w:val="23"/>
        </w:rPr>
        <w:t xml:space="preserve"> to thrive. </w:t>
      </w:r>
    </w:p>
    <w:p w14:paraId="7554BB23" w14:textId="77777777" w:rsidR="002429AD" w:rsidRPr="00444D48" w:rsidRDefault="0064372A" w:rsidP="008B7B4E">
      <w:pPr>
        <w:spacing w:line="264" w:lineRule="auto"/>
        <w:rPr>
          <w:rFonts w:ascii="Arial" w:hAnsi="Arial" w:cs="Arial"/>
          <w:sz w:val="23"/>
          <w:szCs w:val="23"/>
        </w:rPr>
      </w:pPr>
      <w:r w:rsidRPr="00444D48">
        <w:rPr>
          <w:rFonts w:ascii="Arial" w:hAnsi="Arial" w:cs="Arial"/>
          <w:sz w:val="23"/>
          <w:szCs w:val="23"/>
        </w:rPr>
        <w:t xml:space="preserve">COAG has listened to Aboriginal and Torres Strait Islander communities and stakeholders. </w:t>
      </w:r>
      <w:r w:rsidR="00CC260C" w:rsidRPr="00444D48">
        <w:rPr>
          <w:rFonts w:ascii="Arial" w:hAnsi="Arial" w:cs="Arial"/>
          <w:sz w:val="23"/>
          <w:szCs w:val="23"/>
        </w:rPr>
        <w:t xml:space="preserve">COAG has </w:t>
      </w:r>
      <w:r w:rsidR="00BF0871" w:rsidRPr="00444D48">
        <w:rPr>
          <w:rFonts w:ascii="Arial" w:hAnsi="Arial" w:cs="Arial"/>
          <w:sz w:val="23"/>
          <w:szCs w:val="23"/>
        </w:rPr>
        <w:t xml:space="preserve">heard </w:t>
      </w:r>
      <w:r w:rsidR="00CC260C" w:rsidRPr="00444D48">
        <w:rPr>
          <w:rFonts w:ascii="Arial" w:hAnsi="Arial" w:cs="Arial"/>
          <w:sz w:val="23"/>
          <w:szCs w:val="23"/>
        </w:rPr>
        <w:t xml:space="preserve">there is a </w:t>
      </w:r>
      <w:r w:rsidR="008542EA" w:rsidRPr="00444D48">
        <w:rPr>
          <w:rFonts w:ascii="Arial" w:hAnsi="Arial" w:cs="Arial"/>
          <w:sz w:val="23"/>
          <w:szCs w:val="23"/>
        </w:rPr>
        <w:t>need</w:t>
      </w:r>
      <w:r w:rsidR="008E6AE5" w:rsidRPr="00444D48">
        <w:rPr>
          <w:rFonts w:ascii="Arial" w:hAnsi="Arial" w:cs="Arial"/>
          <w:sz w:val="23"/>
          <w:szCs w:val="23"/>
        </w:rPr>
        <w:t xml:space="preserve"> to focus on the long term</w:t>
      </w:r>
      <w:r w:rsidR="004D626E" w:rsidRPr="00444D48">
        <w:rPr>
          <w:rFonts w:ascii="Arial" w:hAnsi="Arial" w:cs="Arial"/>
          <w:sz w:val="23"/>
          <w:szCs w:val="23"/>
        </w:rPr>
        <w:t xml:space="preserve"> and</w:t>
      </w:r>
      <w:r w:rsidR="008D3729" w:rsidRPr="00444D48">
        <w:rPr>
          <w:rFonts w:ascii="Arial" w:hAnsi="Arial" w:cs="Arial"/>
          <w:sz w:val="23"/>
          <w:szCs w:val="23"/>
        </w:rPr>
        <w:t xml:space="preserve"> on</w:t>
      </w:r>
      <w:r w:rsidR="004D626E" w:rsidRPr="00444D48">
        <w:rPr>
          <w:rFonts w:ascii="Arial" w:hAnsi="Arial" w:cs="Arial"/>
          <w:sz w:val="23"/>
          <w:szCs w:val="23"/>
        </w:rPr>
        <w:t xml:space="preserve"> future generations,</w:t>
      </w:r>
      <w:r w:rsidR="008B7B4E" w:rsidRPr="00444D48">
        <w:rPr>
          <w:rFonts w:ascii="Arial" w:hAnsi="Arial" w:cs="Arial"/>
          <w:sz w:val="23"/>
          <w:szCs w:val="23"/>
        </w:rPr>
        <w:t xml:space="preserve"> to </w:t>
      </w:r>
      <w:r w:rsidR="003343FB" w:rsidRPr="00444D48">
        <w:rPr>
          <w:rFonts w:ascii="Arial" w:hAnsi="Arial" w:cs="Arial"/>
          <w:sz w:val="23"/>
          <w:szCs w:val="23"/>
        </w:rPr>
        <w:t xml:space="preserve">strengthen prevention and early intervention initiatives that help build </w:t>
      </w:r>
      <w:r w:rsidR="008D3729" w:rsidRPr="00444D48">
        <w:rPr>
          <w:rFonts w:ascii="Arial" w:hAnsi="Arial" w:cs="Arial"/>
          <w:sz w:val="23"/>
          <w:szCs w:val="23"/>
        </w:rPr>
        <w:t>strong families and communities</w:t>
      </w:r>
      <w:r w:rsidRPr="00444D48">
        <w:rPr>
          <w:rFonts w:ascii="Arial" w:hAnsi="Arial" w:cs="Arial"/>
          <w:sz w:val="23"/>
          <w:szCs w:val="23"/>
        </w:rPr>
        <w:t>,</w:t>
      </w:r>
      <w:r w:rsidR="008D3729" w:rsidRPr="00444D48">
        <w:rPr>
          <w:rFonts w:ascii="Arial" w:hAnsi="Arial" w:cs="Arial"/>
          <w:sz w:val="23"/>
          <w:szCs w:val="23"/>
        </w:rPr>
        <w:t xml:space="preserve"> and</w:t>
      </w:r>
      <w:r w:rsidR="00493FE3" w:rsidRPr="00444D48">
        <w:rPr>
          <w:rFonts w:ascii="Arial" w:hAnsi="Arial" w:cs="Arial"/>
          <w:sz w:val="23"/>
          <w:szCs w:val="23"/>
        </w:rPr>
        <w:t xml:space="preserve"> </w:t>
      </w:r>
      <w:r w:rsidR="00B10B44" w:rsidRPr="00444D48">
        <w:rPr>
          <w:rFonts w:ascii="Arial" w:hAnsi="Arial" w:cs="Arial"/>
          <w:sz w:val="23"/>
          <w:szCs w:val="23"/>
        </w:rPr>
        <w:t xml:space="preserve">to </w:t>
      </w:r>
      <w:r w:rsidR="006B33E4" w:rsidRPr="00444D48">
        <w:rPr>
          <w:rFonts w:ascii="Arial" w:hAnsi="Arial" w:cs="Arial"/>
          <w:sz w:val="23"/>
          <w:szCs w:val="23"/>
        </w:rPr>
        <w:t>prioritise</w:t>
      </w:r>
      <w:r w:rsidR="00E71CC0" w:rsidRPr="00444D48">
        <w:rPr>
          <w:rFonts w:ascii="Arial" w:hAnsi="Arial" w:cs="Arial"/>
          <w:sz w:val="23"/>
          <w:szCs w:val="23"/>
        </w:rPr>
        <w:t xml:space="preserve"> the most important </w:t>
      </w:r>
      <w:r w:rsidR="00CC260C" w:rsidRPr="00444D48">
        <w:rPr>
          <w:rFonts w:ascii="Arial" w:hAnsi="Arial" w:cs="Arial"/>
          <w:sz w:val="23"/>
          <w:szCs w:val="23"/>
        </w:rPr>
        <w:t xml:space="preserve">events </w:t>
      </w:r>
      <w:r w:rsidR="00BE130E" w:rsidRPr="00444D48">
        <w:rPr>
          <w:rFonts w:ascii="Arial" w:hAnsi="Arial" w:cs="Arial"/>
          <w:sz w:val="23"/>
          <w:szCs w:val="23"/>
        </w:rPr>
        <w:t>over the course of a person’s life</w:t>
      </w:r>
      <w:r w:rsidR="006A726A" w:rsidRPr="00444D48">
        <w:rPr>
          <w:rFonts w:ascii="Arial" w:hAnsi="Arial" w:cs="Arial"/>
          <w:sz w:val="23"/>
          <w:szCs w:val="23"/>
        </w:rPr>
        <w:t xml:space="preserve"> and </w:t>
      </w:r>
      <w:r w:rsidR="004D4239" w:rsidRPr="00444D48">
        <w:rPr>
          <w:rFonts w:ascii="Arial" w:hAnsi="Arial" w:cs="Arial"/>
          <w:sz w:val="23"/>
          <w:szCs w:val="23"/>
        </w:rPr>
        <w:t>the surrounding</w:t>
      </w:r>
      <w:r w:rsidR="006A726A" w:rsidRPr="00444D48">
        <w:rPr>
          <w:rFonts w:ascii="Arial" w:hAnsi="Arial" w:cs="Arial"/>
          <w:sz w:val="23"/>
          <w:szCs w:val="23"/>
        </w:rPr>
        <w:t xml:space="preserve"> environment</w:t>
      </w:r>
      <w:r w:rsidR="008D3729" w:rsidRPr="00444D48">
        <w:rPr>
          <w:rFonts w:ascii="Arial" w:hAnsi="Arial" w:cs="Arial"/>
          <w:sz w:val="23"/>
          <w:szCs w:val="23"/>
        </w:rPr>
        <w:t>.</w:t>
      </w:r>
      <w:r w:rsidR="008E6AE5" w:rsidRPr="00444D48">
        <w:rPr>
          <w:rFonts w:ascii="Arial" w:hAnsi="Arial" w:cs="Arial"/>
          <w:sz w:val="23"/>
          <w:szCs w:val="23"/>
        </w:rPr>
        <w:t xml:space="preserve"> </w:t>
      </w:r>
    </w:p>
    <w:p w14:paraId="4E9C1A36" w14:textId="77777777" w:rsidR="003972E5" w:rsidRPr="00444D48" w:rsidRDefault="005259D8" w:rsidP="008B7B4E">
      <w:pPr>
        <w:spacing w:line="264" w:lineRule="auto"/>
        <w:rPr>
          <w:rFonts w:ascii="Arial" w:hAnsi="Arial" w:cs="Arial"/>
          <w:sz w:val="23"/>
          <w:szCs w:val="23"/>
        </w:rPr>
      </w:pPr>
      <w:r w:rsidRPr="00444D48">
        <w:rPr>
          <w:rFonts w:ascii="Arial" w:hAnsi="Arial" w:cs="Arial"/>
          <w:sz w:val="23"/>
          <w:szCs w:val="23"/>
        </w:rPr>
        <w:lastRenderedPageBreak/>
        <w:t xml:space="preserve">COAG </w:t>
      </w:r>
      <w:r w:rsidR="00051D31" w:rsidRPr="00444D48">
        <w:rPr>
          <w:rFonts w:ascii="Arial" w:hAnsi="Arial" w:cs="Arial"/>
          <w:sz w:val="23"/>
          <w:szCs w:val="23"/>
        </w:rPr>
        <w:t>acknowledges</w:t>
      </w:r>
      <w:r w:rsidRPr="00444D48">
        <w:rPr>
          <w:rFonts w:ascii="Arial" w:hAnsi="Arial" w:cs="Arial"/>
          <w:sz w:val="23"/>
          <w:szCs w:val="23"/>
        </w:rPr>
        <w:t xml:space="preserve"> Closing the Gap builds on the foundation of existing </w:t>
      </w:r>
      <w:r w:rsidR="00CC260C" w:rsidRPr="00444D48">
        <w:rPr>
          <w:rFonts w:ascii="Arial" w:hAnsi="Arial" w:cs="Arial"/>
          <w:sz w:val="23"/>
          <w:szCs w:val="23"/>
        </w:rPr>
        <w:t xml:space="preserve">policies </w:t>
      </w:r>
      <w:r w:rsidRPr="00444D48">
        <w:rPr>
          <w:rFonts w:ascii="Arial" w:hAnsi="Arial" w:cs="Arial"/>
          <w:sz w:val="23"/>
          <w:szCs w:val="23"/>
        </w:rPr>
        <w:t xml:space="preserve">and commitments within the Commonwealth and </w:t>
      </w:r>
      <w:r w:rsidR="00CC260C" w:rsidRPr="00444D48">
        <w:rPr>
          <w:rFonts w:ascii="Arial" w:hAnsi="Arial" w:cs="Arial"/>
          <w:sz w:val="23"/>
          <w:szCs w:val="23"/>
        </w:rPr>
        <w:t xml:space="preserve">each </w:t>
      </w:r>
      <w:r w:rsidR="00BE77DF" w:rsidRPr="00444D48">
        <w:rPr>
          <w:rFonts w:ascii="Arial" w:hAnsi="Arial" w:cs="Arial"/>
          <w:sz w:val="23"/>
          <w:szCs w:val="23"/>
        </w:rPr>
        <w:t>s</w:t>
      </w:r>
      <w:r w:rsidR="00CC260C" w:rsidRPr="00444D48">
        <w:rPr>
          <w:rFonts w:ascii="Arial" w:hAnsi="Arial" w:cs="Arial"/>
          <w:sz w:val="23"/>
          <w:szCs w:val="23"/>
        </w:rPr>
        <w:t xml:space="preserve">tate and </w:t>
      </w:r>
      <w:r w:rsidR="00BE77DF" w:rsidRPr="00444D48">
        <w:rPr>
          <w:rFonts w:ascii="Arial" w:hAnsi="Arial" w:cs="Arial"/>
          <w:sz w:val="23"/>
          <w:szCs w:val="23"/>
        </w:rPr>
        <w:t>t</w:t>
      </w:r>
      <w:r w:rsidR="00CC260C" w:rsidRPr="00444D48">
        <w:rPr>
          <w:rFonts w:ascii="Arial" w:hAnsi="Arial" w:cs="Arial"/>
          <w:sz w:val="23"/>
          <w:szCs w:val="23"/>
        </w:rPr>
        <w:t>erritory</w:t>
      </w:r>
      <w:r w:rsidRPr="00444D48">
        <w:rPr>
          <w:rFonts w:ascii="Arial" w:hAnsi="Arial" w:cs="Arial"/>
          <w:sz w:val="23"/>
          <w:szCs w:val="23"/>
        </w:rPr>
        <w:t xml:space="preserve">. </w:t>
      </w:r>
      <w:r w:rsidR="00CC260C" w:rsidRPr="00444D48">
        <w:rPr>
          <w:rFonts w:ascii="Arial" w:hAnsi="Arial" w:cs="Arial"/>
          <w:sz w:val="23"/>
          <w:szCs w:val="23"/>
        </w:rPr>
        <w:t>Closing the Gap does not replace these policies</w:t>
      </w:r>
      <w:r w:rsidR="000D760F" w:rsidRPr="00444D48">
        <w:rPr>
          <w:rFonts w:ascii="Arial" w:hAnsi="Arial" w:cs="Arial"/>
          <w:sz w:val="23"/>
          <w:szCs w:val="23"/>
        </w:rPr>
        <w:t xml:space="preserve">, but provides a </w:t>
      </w:r>
      <w:r w:rsidR="00021174" w:rsidRPr="00444D48">
        <w:rPr>
          <w:rFonts w:ascii="Arial" w:hAnsi="Arial" w:cs="Arial"/>
          <w:sz w:val="23"/>
          <w:szCs w:val="23"/>
        </w:rPr>
        <w:t xml:space="preserve">people and community </w:t>
      </w:r>
      <w:r w:rsidR="000D760F" w:rsidRPr="00444D48">
        <w:rPr>
          <w:rFonts w:ascii="Arial" w:hAnsi="Arial" w:cs="Arial"/>
          <w:sz w:val="23"/>
          <w:szCs w:val="23"/>
        </w:rPr>
        <w:t>centred approach to accelerate outcomes.</w:t>
      </w:r>
      <w:r w:rsidR="00903C3E" w:rsidRPr="00444D48">
        <w:rPr>
          <w:rFonts w:ascii="Arial" w:hAnsi="Arial" w:cs="Arial"/>
          <w:sz w:val="23"/>
          <w:szCs w:val="23"/>
        </w:rPr>
        <w:t xml:space="preserve"> </w:t>
      </w:r>
    </w:p>
    <w:p w14:paraId="55A6640E" w14:textId="77777777" w:rsidR="00EB23D5" w:rsidRPr="00444D48" w:rsidRDefault="00B2479C" w:rsidP="008B7B4E">
      <w:pPr>
        <w:keepNext/>
        <w:tabs>
          <w:tab w:val="left" w:pos="3869"/>
        </w:tabs>
        <w:spacing w:line="264" w:lineRule="auto"/>
        <w:rPr>
          <w:rFonts w:ascii="Arial" w:hAnsi="Arial" w:cs="Arial"/>
          <w:b/>
          <w:sz w:val="23"/>
          <w:szCs w:val="23"/>
        </w:rPr>
      </w:pPr>
      <w:r w:rsidRPr="00444D48">
        <w:rPr>
          <w:rFonts w:ascii="Arial" w:hAnsi="Arial" w:cs="Arial"/>
          <w:b/>
          <w:sz w:val="23"/>
          <w:szCs w:val="23"/>
        </w:rPr>
        <w:t xml:space="preserve">COMMUNITY </w:t>
      </w:r>
      <w:r w:rsidR="00CE1214" w:rsidRPr="00444D48">
        <w:rPr>
          <w:rFonts w:ascii="Arial" w:hAnsi="Arial" w:cs="Arial"/>
          <w:b/>
          <w:sz w:val="23"/>
          <w:szCs w:val="23"/>
        </w:rPr>
        <w:t>PRIORITIES</w:t>
      </w:r>
      <w:r w:rsidR="00FB0BAD" w:rsidRPr="00444D48">
        <w:rPr>
          <w:rFonts w:ascii="Arial" w:hAnsi="Arial" w:cs="Arial"/>
          <w:b/>
          <w:sz w:val="23"/>
          <w:szCs w:val="23"/>
        </w:rPr>
        <w:t xml:space="preserve"> FOR THE NEXT TEN YEARS</w:t>
      </w:r>
    </w:p>
    <w:p w14:paraId="6B595024" w14:textId="77777777" w:rsidR="00E07732" w:rsidRPr="00444D48" w:rsidRDefault="005873B2" w:rsidP="008B7B4E">
      <w:pPr>
        <w:keepNext/>
        <w:spacing w:line="264" w:lineRule="auto"/>
        <w:rPr>
          <w:rFonts w:ascii="Arial" w:hAnsi="Arial" w:cs="Arial"/>
          <w:sz w:val="23"/>
          <w:szCs w:val="23"/>
        </w:rPr>
      </w:pPr>
      <w:r w:rsidRPr="00444D48">
        <w:rPr>
          <w:rFonts w:ascii="Arial" w:hAnsi="Arial" w:cs="Arial"/>
          <w:sz w:val="23"/>
          <w:szCs w:val="23"/>
        </w:rPr>
        <w:t>The</w:t>
      </w:r>
      <w:r w:rsidR="00F017C2" w:rsidRPr="00444D48">
        <w:rPr>
          <w:rFonts w:ascii="Arial" w:hAnsi="Arial" w:cs="Arial"/>
          <w:sz w:val="23"/>
          <w:szCs w:val="23"/>
        </w:rPr>
        <w:t xml:space="preserve"> </w:t>
      </w:r>
      <w:r w:rsidR="000D760F" w:rsidRPr="00444D48">
        <w:rPr>
          <w:rFonts w:ascii="Arial" w:hAnsi="Arial" w:cs="Arial"/>
          <w:sz w:val="23"/>
          <w:szCs w:val="23"/>
        </w:rPr>
        <w:t xml:space="preserve">Special Gathering </w:t>
      </w:r>
      <w:r w:rsidR="00685599" w:rsidRPr="00444D48">
        <w:rPr>
          <w:rFonts w:ascii="Arial" w:hAnsi="Arial" w:cs="Arial"/>
          <w:sz w:val="23"/>
          <w:szCs w:val="23"/>
        </w:rPr>
        <w:t>Statement</w:t>
      </w:r>
      <w:r w:rsidR="006A69A1" w:rsidRPr="00444D48">
        <w:rPr>
          <w:rFonts w:ascii="Arial" w:hAnsi="Arial" w:cs="Arial"/>
          <w:sz w:val="23"/>
          <w:szCs w:val="23"/>
        </w:rPr>
        <w:t xml:space="preserve"> to COAG</w:t>
      </w:r>
      <w:r w:rsidR="00D60928" w:rsidRPr="00444D48">
        <w:rPr>
          <w:rFonts w:ascii="Arial" w:hAnsi="Arial" w:cs="Arial"/>
          <w:sz w:val="23"/>
          <w:szCs w:val="23"/>
        </w:rPr>
        <w:t xml:space="preserve"> </w:t>
      </w:r>
      <w:r w:rsidRPr="00444D48">
        <w:rPr>
          <w:rFonts w:ascii="Arial" w:hAnsi="Arial" w:cs="Arial"/>
          <w:sz w:val="23"/>
          <w:szCs w:val="23"/>
        </w:rPr>
        <w:t xml:space="preserve">in February 2018 </w:t>
      </w:r>
      <w:r w:rsidR="00F017C2" w:rsidRPr="00444D48">
        <w:rPr>
          <w:rFonts w:ascii="Arial" w:hAnsi="Arial" w:cs="Arial"/>
          <w:sz w:val="23"/>
          <w:szCs w:val="23"/>
        </w:rPr>
        <w:t>recommend</w:t>
      </w:r>
      <w:r w:rsidRPr="00444D48">
        <w:rPr>
          <w:rFonts w:ascii="Arial" w:hAnsi="Arial" w:cs="Arial"/>
          <w:sz w:val="23"/>
          <w:szCs w:val="23"/>
        </w:rPr>
        <w:t>ed</w:t>
      </w:r>
      <w:r w:rsidR="00F017C2" w:rsidRPr="00444D48">
        <w:rPr>
          <w:rFonts w:ascii="Arial" w:hAnsi="Arial" w:cs="Arial"/>
          <w:sz w:val="23"/>
          <w:szCs w:val="23"/>
        </w:rPr>
        <w:t xml:space="preserve"> </w:t>
      </w:r>
      <w:r w:rsidR="00812855" w:rsidRPr="00444D48">
        <w:rPr>
          <w:rFonts w:ascii="Arial" w:hAnsi="Arial" w:cs="Arial"/>
          <w:sz w:val="23"/>
          <w:szCs w:val="23"/>
        </w:rPr>
        <w:t xml:space="preserve">the </w:t>
      </w:r>
      <w:r w:rsidR="00B353A3" w:rsidRPr="00444D48">
        <w:rPr>
          <w:rFonts w:ascii="Arial" w:hAnsi="Arial" w:cs="Arial"/>
          <w:sz w:val="23"/>
          <w:szCs w:val="23"/>
        </w:rPr>
        <w:t>priority areas</w:t>
      </w:r>
      <w:r w:rsidR="00F017C2" w:rsidRPr="00444D48">
        <w:rPr>
          <w:rFonts w:ascii="Arial" w:hAnsi="Arial" w:cs="Arial"/>
          <w:sz w:val="23"/>
          <w:szCs w:val="23"/>
        </w:rPr>
        <w:t xml:space="preserve"> </w:t>
      </w:r>
      <w:r w:rsidR="00551564" w:rsidRPr="00444D48">
        <w:rPr>
          <w:rFonts w:ascii="Arial" w:hAnsi="Arial" w:cs="Arial"/>
          <w:sz w:val="23"/>
          <w:szCs w:val="23"/>
        </w:rPr>
        <w:t>for the next phase of Closing the Gap</w:t>
      </w:r>
      <w:r w:rsidR="009F7B9D" w:rsidRPr="00444D48">
        <w:rPr>
          <w:rFonts w:ascii="Arial" w:hAnsi="Arial" w:cs="Arial"/>
          <w:sz w:val="23"/>
          <w:szCs w:val="23"/>
        </w:rPr>
        <w:t>:</w:t>
      </w:r>
    </w:p>
    <w:p w14:paraId="5C6453DC" w14:textId="77777777" w:rsidR="00E07732" w:rsidRPr="00444D48" w:rsidRDefault="00E07732" w:rsidP="008B7B4E">
      <w:pPr>
        <w:numPr>
          <w:ilvl w:val="0"/>
          <w:numId w:val="16"/>
        </w:numPr>
        <w:spacing w:after="0" w:line="264" w:lineRule="auto"/>
        <w:ind w:left="714" w:hanging="357"/>
        <w:rPr>
          <w:rFonts w:ascii="Arial" w:hAnsi="Arial" w:cs="Arial"/>
          <w:sz w:val="23"/>
          <w:szCs w:val="23"/>
        </w:rPr>
      </w:pPr>
      <w:r w:rsidRPr="00444D48">
        <w:rPr>
          <w:rFonts w:ascii="Arial" w:hAnsi="Arial" w:cs="Arial"/>
          <w:sz w:val="23"/>
          <w:szCs w:val="23"/>
        </w:rPr>
        <w:t>Families, children and youth</w:t>
      </w:r>
    </w:p>
    <w:p w14:paraId="0FF21696" w14:textId="77777777" w:rsidR="00E07732" w:rsidRPr="00444D48" w:rsidRDefault="00E07732" w:rsidP="008B7B4E">
      <w:pPr>
        <w:numPr>
          <w:ilvl w:val="0"/>
          <w:numId w:val="16"/>
        </w:numPr>
        <w:spacing w:after="0" w:line="264" w:lineRule="auto"/>
        <w:ind w:left="714" w:hanging="357"/>
        <w:rPr>
          <w:rFonts w:ascii="Arial" w:hAnsi="Arial" w:cs="Arial"/>
          <w:sz w:val="23"/>
          <w:szCs w:val="23"/>
        </w:rPr>
      </w:pPr>
      <w:r w:rsidRPr="00444D48">
        <w:rPr>
          <w:rFonts w:ascii="Arial" w:hAnsi="Arial" w:cs="Arial"/>
          <w:sz w:val="23"/>
          <w:szCs w:val="23"/>
        </w:rPr>
        <w:t>Housing</w:t>
      </w:r>
    </w:p>
    <w:p w14:paraId="55592F0A" w14:textId="77777777" w:rsidR="00E07732" w:rsidRPr="00444D48" w:rsidRDefault="00E07732" w:rsidP="008B7B4E">
      <w:pPr>
        <w:numPr>
          <w:ilvl w:val="0"/>
          <w:numId w:val="16"/>
        </w:numPr>
        <w:spacing w:after="0" w:line="264" w:lineRule="auto"/>
        <w:ind w:left="714" w:hanging="357"/>
        <w:rPr>
          <w:rFonts w:ascii="Arial" w:hAnsi="Arial" w:cs="Arial"/>
          <w:sz w:val="23"/>
          <w:szCs w:val="23"/>
        </w:rPr>
      </w:pPr>
      <w:r w:rsidRPr="00444D48">
        <w:rPr>
          <w:rFonts w:ascii="Arial" w:hAnsi="Arial" w:cs="Arial"/>
          <w:sz w:val="23"/>
          <w:szCs w:val="23"/>
        </w:rPr>
        <w:t>Justice, including youth justice</w:t>
      </w:r>
    </w:p>
    <w:p w14:paraId="596E7576" w14:textId="77777777" w:rsidR="00E07732" w:rsidRPr="00444D48" w:rsidRDefault="00E07732" w:rsidP="008B7B4E">
      <w:pPr>
        <w:numPr>
          <w:ilvl w:val="0"/>
          <w:numId w:val="16"/>
        </w:numPr>
        <w:spacing w:after="0" w:line="264" w:lineRule="auto"/>
        <w:ind w:left="714" w:hanging="357"/>
        <w:rPr>
          <w:rFonts w:ascii="Arial" w:hAnsi="Arial" w:cs="Arial"/>
          <w:sz w:val="23"/>
          <w:szCs w:val="23"/>
        </w:rPr>
      </w:pPr>
      <w:r w:rsidRPr="00444D48">
        <w:rPr>
          <w:rFonts w:ascii="Arial" w:hAnsi="Arial" w:cs="Arial"/>
          <w:sz w:val="23"/>
          <w:szCs w:val="23"/>
        </w:rPr>
        <w:t>Health</w:t>
      </w:r>
    </w:p>
    <w:p w14:paraId="7D9D201B" w14:textId="77777777" w:rsidR="00E07732" w:rsidRPr="00444D48" w:rsidRDefault="00E07732" w:rsidP="008B7B4E">
      <w:pPr>
        <w:numPr>
          <w:ilvl w:val="0"/>
          <w:numId w:val="16"/>
        </w:numPr>
        <w:spacing w:after="0" w:line="264" w:lineRule="auto"/>
        <w:ind w:left="714" w:hanging="357"/>
        <w:rPr>
          <w:rFonts w:ascii="Arial" w:hAnsi="Arial" w:cs="Arial"/>
          <w:sz w:val="23"/>
          <w:szCs w:val="23"/>
        </w:rPr>
      </w:pPr>
      <w:r w:rsidRPr="00444D48">
        <w:rPr>
          <w:rFonts w:ascii="Arial" w:hAnsi="Arial" w:cs="Arial"/>
          <w:sz w:val="23"/>
          <w:szCs w:val="23"/>
        </w:rPr>
        <w:t>Economic development</w:t>
      </w:r>
    </w:p>
    <w:p w14:paraId="0FE5AFC3" w14:textId="77777777" w:rsidR="00E07732" w:rsidRPr="00444D48" w:rsidRDefault="00E07732" w:rsidP="008B7B4E">
      <w:pPr>
        <w:numPr>
          <w:ilvl w:val="0"/>
          <w:numId w:val="16"/>
        </w:numPr>
        <w:spacing w:after="0" w:line="264" w:lineRule="auto"/>
        <w:ind w:left="714" w:hanging="357"/>
        <w:rPr>
          <w:rFonts w:ascii="Arial" w:hAnsi="Arial" w:cs="Arial"/>
          <w:sz w:val="23"/>
          <w:szCs w:val="23"/>
        </w:rPr>
      </w:pPr>
      <w:r w:rsidRPr="00444D48">
        <w:rPr>
          <w:rFonts w:ascii="Arial" w:hAnsi="Arial" w:cs="Arial"/>
          <w:sz w:val="23"/>
          <w:szCs w:val="23"/>
        </w:rPr>
        <w:t>Culture and language</w:t>
      </w:r>
    </w:p>
    <w:p w14:paraId="79947A5E" w14:textId="77777777" w:rsidR="00E07732" w:rsidRPr="00444D48" w:rsidRDefault="00E07732" w:rsidP="008B7B4E">
      <w:pPr>
        <w:numPr>
          <w:ilvl w:val="0"/>
          <w:numId w:val="16"/>
        </w:numPr>
        <w:spacing w:after="0" w:line="264" w:lineRule="auto"/>
        <w:ind w:left="714" w:hanging="357"/>
        <w:rPr>
          <w:rFonts w:ascii="Arial" w:hAnsi="Arial" w:cs="Arial"/>
          <w:sz w:val="23"/>
          <w:szCs w:val="23"/>
        </w:rPr>
      </w:pPr>
      <w:r w:rsidRPr="00444D48">
        <w:rPr>
          <w:rFonts w:ascii="Arial" w:hAnsi="Arial" w:cs="Arial"/>
          <w:sz w:val="23"/>
          <w:szCs w:val="23"/>
        </w:rPr>
        <w:t>Education</w:t>
      </w:r>
    </w:p>
    <w:p w14:paraId="502760A2" w14:textId="77777777" w:rsidR="00E07732" w:rsidRPr="00444D48" w:rsidRDefault="00E07732" w:rsidP="008B7B4E">
      <w:pPr>
        <w:numPr>
          <w:ilvl w:val="0"/>
          <w:numId w:val="16"/>
        </w:numPr>
        <w:spacing w:after="0" w:line="264" w:lineRule="auto"/>
        <w:ind w:left="714" w:hanging="357"/>
        <w:rPr>
          <w:rFonts w:ascii="Arial" w:hAnsi="Arial" w:cs="Arial"/>
          <w:sz w:val="23"/>
          <w:szCs w:val="23"/>
        </w:rPr>
      </w:pPr>
      <w:r w:rsidRPr="00444D48">
        <w:rPr>
          <w:rFonts w:ascii="Arial" w:hAnsi="Arial" w:cs="Arial"/>
          <w:sz w:val="23"/>
          <w:szCs w:val="23"/>
        </w:rPr>
        <w:t>Healing</w:t>
      </w:r>
    </w:p>
    <w:p w14:paraId="11B303B1" w14:textId="77777777" w:rsidR="00E07732" w:rsidRPr="00444D48" w:rsidRDefault="00E07732" w:rsidP="00DA30DC">
      <w:pPr>
        <w:numPr>
          <w:ilvl w:val="0"/>
          <w:numId w:val="16"/>
        </w:numPr>
        <w:spacing w:line="264" w:lineRule="auto"/>
        <w:ind w:left="714" w:hanging="357"/>
        <w:rPr>
          <w:rFonts w:ascii="Arial" w:hAnsi="Arial" w:cs="Arial"/>
          <w:sz w:val="23"/>
          <w:szCs w:val="23"/>
        </w:rPr>
      </w:pPr>
      <w:r w:rsidRPr="00444D48">
        <w:rPr>
          <w:rFonts w:ascii="Arial" w:hAnsi="Arial" w:cs="Arial"/>
          <w:sz w:val="23"/>
          <w:szCs w:val="23"/>
        </w:rPr>
        <w:t>Eliminating racism and systemic discrimination</w:t>
      </w:r>
      <w:r w:rsidR="004D4239" w:rsidRPr="00444D48">
        <w:rPr>
          <w:rFonts w:ascii="Arial" w:hAnsi="Arial" w:cs="Arial"/>
          <w:sz w:val="23"/>
          <w:szCs w:val="23"/>
        </w:rPr>
        <w:t>.</w:t>
      </w:r>
    </w:p>
    <w:p w14:paraId="1BA152CD" w14:textId="77777777" w:rsidR="004D4239" w:rsidRPr="00444D48" w:rsidRDefault="00290C1D" w:rsidP="008B7B4E">
      <w:pPr>
        <w:spacing w:line="264" w:lineRule="auto"/>
        <w:rPr>
          <w:rFonts w:ascii="Arial" w:hAnsi="Arial" w:cs="Arial"/>
          <w:sz w:val="23"/>
          <w:szCs w:val="23"/>
        </w:rPr>
      </w:pPr>
      <w:r w:rsidRPr="00444D48">
        <w:rPr>
          <w:rFonts w:ascii="Arial" w:hAnsi="Arial" w:cs="Arial"/>
          <w:sz w:val="23"/>
          <w:szCs w:val="23"/>
        </w:rPr>
        <w:t>All priority areas are important and interconnected</w:t>
      </w:r>
      <w:r w:rsidR="002731D3" w:rsidRPr="00444D48">
        <w:rPr>
          <w:rFonts w:ascii="Arial" w:hAnsi="Arial" w:cs="Arial"/>
          <w:sz w:val="23"/>
          <w:szCs w:val="23"/>
        </w:rPr>
        <w:t>, and</w:t>
      </w:r>
      <w:r w:rsidRPr="00444D48">
        <w:rPr>
          <w:rFonts w:ascii="Arial" w:hAnsi="Arial" w:cs="Arial"/>
          <w:sz w:val="23"/>
          <w:szCs w:val="23"/>
        </w:rPr>
        <w:t xml:space="preserve"> </w:t>
      </w:r>
      <w:r w:rsidR="004D4239" w:rsidRPr="00444D48">
        <w:rPr>
          <w:rFonts w:ascii="Arial" w:hAnsi="Arial" w:cs="Arial"/>
          <w:sz w:val="23"/>
          <w:szCs w:val="23"/>
        </w:rPr>
        <w:t xml:space="preserve">COAG </w:t>
      </w:r>
      <w:r w:rsidR="005C273F" w:rsidRPr="00444D48">
        <w:rPr>
          <w:rFonts w:ascii="Arial" w:hAnsi="Arial" w:cs="Arial"/>
          <w:sz w:val="23"/>
          <w:szCs w:val="23"/>
        </w:rPr>
        <w:t xml:space="preserve">is </w:t>
      </w:r>
      <w:r w:rsidR="004D4239" w:rsidRPr="00444D48">
        <w:rPr>
          <w:rFonts w:ascii="Arial" w:hAnsi="Arial" w:cs="Arial"/>
          <w:sz w:val="23"/>
          <w:szCs w:val="23"/>
        </w:rPr>
        <w:t xml:space="preserve">committed to achieving </w:t>
      </w:r>
      <w:r w:rsidR="000D760F" w:rsidRPr="00444D48">
        <w:rPr>
          <w:rFonts w:ascii="Arial" w:hAnsi="Arial" w:cs="Arial"/>
          <w:sz w:val="23"/>
          <w:szCs w:val="23"/>
        </w:rPr>
        <w:t xml:space="preserve">positive progress </w:t>
      </w:r>
      <w:r w:rsidR="004D4239" w:rsidRPr="00444D48">
        <w:rPr>
          <w:rFonts w:ascii="Arial" w:hAnsi="Arial" w:cs="Arial"/>
          <w:sz w:val="23"/>
          <w:szCs w:val="23"/>
        </w:rPr>
        <w:t xml:space="preserve">in all areas. </w:t>
      </w:r>
    </w:p>
    <w:p w14:paraId="16F2507A" w14:textId="77777777" w:rsidR="00FC4E71" w:rsidRPr="00444D48" w:rsidRDefault="00570CF9" w:rsidP="008B7B4E">
      <w:pPr>
        <w:spacing w:line="264" w:lineRule="auto"/>
        <w:rPr>
          <w:rFonts w:ascii="Arial" w:hAnsi="Arial" w:cs="Arial"/>
          <w:sz w:val="23"/>
          <w:szCs w:val="23"/>
        </w:rPr>
      </w:pPr>
      <w:r w:rsidRPr="00444D48">
        <w:rPr>
          <w:rFonts w:ascii="Arial" w:hAnsi="Arial" w:cs="Arial"/>
          <w:sz w:val="23"/>
          <w:szCs w:val="23"/>
        </w:rPr>
        <w:t xml:space="preserve">The Commonwealth, </w:t>
      </w:r>
      <w:r w:rsidR="00BE77DF" w:rsidRPr="00444D48">
        <w:rPr>
          <w:rFonts w:ascii="Arial" w:hAnsi="Arial" w:cs="Arial"/>
          <w:sz w:val="23"/>
          <w:szCs w:val="23"/>
        </w:rPr>
        <w:t>s</w:t>
      </w:r>
      <w:r w:rsidRPr="00444D48">
        <w:rPr>
          <w:rFonts w:ascii="Arial" w:hAnsi="Arial" w:cs="Arial"/>
          <w:sz w:val="23"/>
          <w:szCs w:val="23"/>
        </w:rPr>
        <w:t xml:space="preserve">tates and </w:t>
      </w:r>
      <w:r w:rsidR="00BE77DF" w:rsidRPr="00444D48">
        <w:rPr>
          <w:rFonts w:ascii="Arial" w:hAnsi="Arial" w:cs="Arial"/>
          <w:sz w:val="23"/>
          <w:szCs w:val="23"/>
        </w:rPr>
        <w:t>t</w:t>
      </w:r>
      <w:r w:rsidRPr="00444D48">
        <w:rPr>
          <w:rFonts w:ascii="Arial" w:hAnsi="Arial" w:cs="Arial"/>
          <w:sz w:val="23"/>
          <w:szCs w:val="23"/>
        </w:rPr>
        <w:t xml:space="preserve">erritories have consulted widely </w:t>
      </w:r>
      <w:r w:rsidR="004D4239" w:rsidRPr="00444D48">
        <w:rPr>
          <w:rFonts w:ascii="Arial" w:hAnsi="Arial" w:cs="Arial"/>
          <w:sz w:val="23"/>
          <w:szCs w:val="23"/>
        </w:rPr>
        <w:t xml:space="preserve">on </w:t>
      </w:r>
      <w:r w:rsidR="00A344D0" w:rsidRPr="00444D48">
        <w:rPr>
          <w:rFonts w:ascii="Arial" w:hAnsi="Arial" w:cs="Arial"/>
          <w:sz w:val="23"/>
          <w:szCs w:val="23"/>
        </w:rPr>
        <w:t>thes</w:t>
      </w:r>
      <w:r w:rsidR="008619BB" w:rsidRPr="00444D48">
        <w:rPr>
          <w:rFonts w:ascii="Arial" w:hAnsi="Arial" w:cs="Arial"/>
          <w:sz w:val="23"/>
          <w:szCs w:val="23"/>
        </w:rPr>
        <w:t>e</w:t>
      </w:r>
      <w:r w:rsidR="00D06C53" w:rsidRPr="00444D48">
        <w:rPr>
          <w:rFonts w:ascii="Arial" w:hAnsi="Arial" w:cs="Arial"/>
          <w:sz w:val="23"/>
          <w:szCs w:val="23"/>
        </w:rPr>
        <w:t xml:space="preserve"> </w:t>
      </w:r>
      <w:r w:rsidRPr="00444D48">
        <w:rPr>
          <w:rFonts w:ascii="Arial" w:hAnsi="Arial" w:cs="Arial"/>
          <w:sz w:val="23"/>
          <w:szCs w:val="23"/>
        </w:rPr>
        <w:t>priorities. Aboriginal an</w:t>
      </w:r>
      <w:r w:rsidR="007374BF" w:rsidRPr="00444D48">
        <w:rPr>
          <w:rFonts w:ascii="Arial" w:hAnsi="Arial" w:cs="Arial"/>
          <w:sz w:val="23"/>
          <w:szCs w:val="23"/>
        </w:rPr>
        <w:t>d Torres Strait Islander people</w:t>
      </w:r>
      <w:r w:rsidR="00723E56" w:rsidRPr="00444D48">
        <w:rPr>
          <w:rFonts w:ascii="Arial" w:hAnsi="Arial" w:cs="Arial"/>
          <w:sz w:val="23"/>
          <w:szCs w:val="23"/>
        </w:rPr>
        <w:t>s</w:t>
      </w:r>
      <w:r w:rsidR="007374BF" w:rsidRPr="00444D48">
        <w:rPr>
          <w:rFonts w:ascii="Arial" w:hAnsi="Arial" w:cs="Arial"/>
          <w:sz w:val="23"/>
          <w:szCs w:val="23"/>
        </w:rPr>
        <w:t xml:space="preserve"> and </w:t>
      </w:r>
      <w:r w:rsidRPr="00444D48">
        <w:rPr>
          <w:rFonts w:ascii="Arial" w:hAnsi="Arial" w:cs="Arial"/>
          <w:sz w:val="23"/>
          <w:szCs w:val="23"/>
        </w:rPr>
        <w:t xml:space="preserve">communities, </w:t>
      </w:r>
      <w:r w:rsidR="002C5384" w:rsidRPr="00444D48">
        <w:rPr>
          <w:rFonts w:ascii="Arial" w:hAnsi="Arial" w:cs="Arial"/>
          <w:sz w:val="23"/>
          <w:szCs w:val="23"/>
        </w:rPr>
        <w:t>peak bodies</w:t>
      </w:r>
      <w:r w:rsidR="00194555" w:rsidRPr="00444D48">
        <w:rPr>
          <w:rFonts w:ascii="Arial" w:hAnsi="Arial" w:cs="Arial"/>
          <w:sz w:val="23"/>
          <w:szCs w:val="23"/>
        </w:rPr>
        <w:t>, service providers</w:t>
      </w:r>
      <w:r w:rsidR="002C5384" w:rsidRPr="00444D48">
        <w:rPr>
          <w:rFonts w:ascii="Arial" w:hAnsi="Arial" w:cs="Arial"/>
          <w:sz w:val="23"/>
          <w:szCs w:val="23"/>
        </w:rPr>
        <w:t xml:space="preserve">, technical </w:t>
      </w:r>
      <w:r w:rsidRPr="00444D48">
        <w:rPr>
          <w:rFonts w:ascii="Arial" w:hAnsi="Arial" w:cs="Arial"/>
          <w:sz w:val="23"/>
          <w:szCs w:val="23"/>
        </w:rPr>
        <w:t>experts and members of the public</w:t>
      </w:r>
      <w:r w:rsidR="00B2479C" w:rsidRPr="00444D48">
        <w:rPr>
          <w:rFonts w:ascii="Arial" w:hAnsi="Arial" w:cs="Arial"/>
          <w:sz w:val="23"/>
          <w:szCs w:val="23"/>
        </w:rPr>
        <w:t xml:space="preserve"> had the opportunity to provide their views on the future of Closing the Gap</w:t>
      </w:r>
      <w:r w:rsidRPr="00444D48">
        <w:rPr>
          <w:rFonts w:ascii="Arial" w:hAnsi="Arial" w:cs="Arial"/>
          <w:sz w:val="23"/>
          <w:szCs w:val="23"/>
        </w:rPr>
        <w:t xml:space="preserve">. </w:t>
      </w:r>
    </w:p>
    <w:p w14:paraId="69060F2A" w14:textId="77777777" w:rsidR="00CF65BA" w:rsidRPr="00444D48" w:rsidRDefault="00FC4E71" w:rsidP="008B7B4E">
      <w:pPr>
        <w:spacing w:line="264" w:lineRule="auto"/>
        <w:rPr>
          <w:rFonts w:ascii="Arial" w:hAnsi="Arial" w:cs="Arial"/>
          <w:sz w:val="23"/>
          <w:szCs w:val="23"/>
        </w:rPr>
      </w:pPr>
      <w:r w:rsidRPr="00444D48">
        <w:rPr>
          <w:rFonts w:ascii="Arial" w:hAnsi="Arial" w:cs="Arial"/>
          <w:sz w:val="23"/>
          <w:szCs w:val="23"/>
        </w:rPr>
        <w:t xml:space="preserve">In considering </w:t>
      </w:r>
      <w:r w:rsidR="0055793C" w:rsidRPr="00444D48">
        <w:rPr>
          <w:rFonts w:ascii="Arial" w:hAnsi="Arial" w:cs="Arial"/>
          <w:sz w:val="23"/>
          <w:szCs w:val="23"/>
        </w:rPr>
        <w:t>where to set</w:t>
      </w:r>
      <w:r w:rsidRPr="00444D48">
        <w:rPr>
          <w:rFonts w:ascii="Arial" w:hAnsi="Arial" w:cs="Arial"/>
          <w:sz w:val="23"/>
          <w:szCs w:val="23"/>
        </w:rPr>
        <w:t xml:space="preserve"> targets, </w:t>
      </w:r>
      <w:r w:rsidR="00B2479C" w:rsidRPr="00444D48">
        <w:rPr>
          <w:rFonts w:ascii="Arial" w:hAnsi="Arial" w:cs="Arial"/>
          <w:sz w:val="23"/>
          <w:szCs w:val="23"/>
        </w:rPr>
        <w:t>there was a focus</w:t>
      </w:r>
      <w:r w:rsidRPr="00444D48">
        <w:rPr>
          <w:rFonts w:ascii="Arial" w:hAnsi="Arial" w:cs="Arial"/>
          <w:sz w:val="23"/>
          <w:szCs w:val="23"/>
        </w:rPr>
        <w:t xml:space="preserve"> on</w:t>
      </w:r>
      <w:r w:rsidR="00B2479C" w:rsidRPr="00444D48">
        <w:rPr>
          <w:rFonts w:ascii="Arial" w:hAnsi="Arial" w:cs="Arial"/>
          <w:sz w:val="23"/>
          <w:szCs w:val="23"/>
        </w:rPr>
        <w:t xml:space="preserve"> the</w:t>
      </w:r>
      <w:r w:rsidRPr="00444D48">
        <w:rPr>
          <w:rFonts w:ascii="Arial" w:hAnsi="Arial" w:cs="Arial"/>
          <w:sz w:val="23"/>
          <w:szCs w:val="23"/>
        </w:rPr>
        <w:t xml:space="preserve"> </w:t>
      </w:r>
      <w:r w:rsidR="00336041" w:rsidRPr="00444D48">
        <w:rPr>
          <w:rFonts w:ascii="Arial" w:hAnsi="Arial" w:cs="Arial"/>
          <w:sz w:val="23"/>
          <w:szCs w:val="23"/>
        </w:rPr>
        <w:t xml:space="preserve">priority </w:t>
      </w:r>
      <w:r w:rsidR="00A91F42" w:rsidRPr="00444D48">
        <w:rPr>
          <w:rFonts w:ascii="Arial" w:hAnsi="Arial" w:cs="Arial"/>
          <w:sz w:val="23"/>
          <w:szCs w:val="23"/>
        </w:rPr>
        <w:t>areas</w:t>
      </w:r>
      <w:r w:rsidR="0085263C" w:rsidRPr="00444D48">
        <w:rPr>
          <w:rFonts w:ascii="Arial" w:hAnsi="Arial" w:cs="Arial"/>
          <w:sz w:val="23"/>
          <w:szCs w:val="23"/>
        </w:rPr>
        <w:t xml:space="preserve"> that lend thems</w:t>
      </w:r>
      <w:r w:rsidR="000F0E1D" w:rsidRPr="00444D48">
        <w:rPr>
          <w:rFonts w:ascii="Arial" w:hAnsi="Arial" w:cs="Arial"/>
          <w:sz w:val="23"/>
          <w:szCs w:val="23"/>
        </w:rPr>
        <w:t>elves to the design of specific, measurable, achievable,</w:t>
      </w:r>
      <w:r w:rsidR="00B2479C" w:rsidRPr="00444D48">
        <w:rPr>
          <w:rFonts w:ascii="Arial" w:hAnsi="Arial" w:cs="Arial"/>
          <w:sz w:val="23"/>
          <w:szCs w:val="23"/>
        </w:rPr>
        <w:t xml:space="preserve"> relevant and time-bound target</w:t>
      </w:r>
      <w:r w:rsidR="00E5621D" w:rsidRPr="00444D48">
        <w:rPr>
          <w:rFonts w:ascii="Arial" w:hAnsi="Arial" w:cs="Arial"/>
          <w:sz w:val="23"/>
          <w:szCs w:val="23"/>
        </w:rPr>
        <w:t>s</w:t>
      </w:r>
      <w:r w:rsidR="00B2479C" w:rsidRPr="00444D48">
        <w:rPr>
          <w:rFonts w:ascii="Arial" w:hAnsi="Arial" w:cs="Arial"/>
          <w:sz w:val="23"/>
          <w:szCs w:val="23"/>
        </w:rPr>
        <w:t xml:space="preserve">. This focus on evidence and data enables COAG to </w:t>
      </w:r>
      <w:r w:rsidR="00A06B11" w:rsidRPr="00444D48">
        <w:rPr>
          <w:rFonts w:ascii="Arial" w:hAnsi="Arial" w:cs="Arial"/>
          <w:sz w:val="23"/>
          <w:szCs w:val="23"/>
        </w:rPr>
        <w:t xml:space="preserve">effectively </w:t>
      </w:r>
      <w:r w:rsidR="000F0E1D" w:rsidRPr="00444D48">
        <w:rPr>
          <w:rFonts w:ascii="Arial" w:hAnsi="Arial" w:cs="Arial"/>
          <w:sz w:val="23"/>
          <w:szCs w:val="23"/>
        </w:rPr>
        <w:t>track progress</w:t>
      </w:r>
      <w:r w:rsidR="00A06B11" w:rsidRPr="00444D48">
        <w:rPr>
          <w:rFonts w:ascii="Arial" w:hAnsi="Arial" w:cs="Arial"/>
          <w:sz w:val="23"/>
          <w:szCs w:val="23"/>
        </w:rPr>
        <w:t xml:space="preserve"> over time</w:t>
      </w:r>
      <w:r w:rsidR="00706BBE" w:rsidRPr="00444D48">
        <w:rPr>
          <w:rFonts w:ascii="Arial" w:hAnsi="Arial" w:cs="Arial"/>
          <w:sz w:val="23"/>
          <w:szCs w:val="23"/>
        </w:rPr>
        <w:t>.</w:t>
      </w:r>
      <w:r w:rsidR="00CF65BA" w:rsidRPr="00444D48">
        <w:rPr>
          <w:rFonts w:ascii="Arial" w:hAnsi="Arial" w:cs="Arial"/>
          <w:sz w:val="23"/>
          <w:szCs w:val="23"/>
        </w:rPr>
        <w:t xml:space="preserve"> </w:t>
      </w:r>
    </w:p>
    <w:p w14:paraId="2880BCF7" w14:textId="77777777" w:rsidR="00B13F07" w:rsidRPr="00444D48" w:rsidRDefault="007F6784" w:rsidP="008B7B4E">
      <w:pPr>
        <w:keepNext/>
        <w:spacing w:line="264" w:lineRule="auto"/>
        <w:rPr>
          <w:rFonts w:ascii="Arial" w:hAnsi="Arial" w:cs="Arial"/>
          <w:b/>
          <w:sz w:val="23"/>
          <w:szCs w:val="23"/>
        </w:rPr>
      </w:pPr>
      <w:r w:rsidRPr="00444D48">
        <w:rPr>
          <w:rFonts w:ascii="Arial" w:hAnsi="Arial" w:cs="Arial"/>
          <w:b/>
          <w:sz w:val="23"/>
          <w:szCs w:val="23"/>
        </w:rPr>
        <w:t>CROSS SYSTEM PRIORITIES</w:t>
      </w:r>
    </w:p>
    <w:p w14:paraId="6DDE0920" w14:textId="77777777" w:rsidR="00747F09" w:rsidRPr="00444D48" w:rsidRDefault="00747F09" w:rsidP="008B7B4E">
      <w:pPr>
        <w:spacing w:line="264" w:lineRule="auto"/>
        <w:rPr>
          <w:rFonts w:ascii="Arial" w:hAnsi="Arial" w:cs="Arial"/>
          <w:sz w:val="23"/>
          <w:szCs w:val="23"/>
        </w:rPr>
      </w:pPr>
      <w:r w:rsidRPr="00444D48">
        <w:rPr>
          <w:rFonts w:ascii="Arial" w:hAnsi="Arial" w:cs="Arial"/>
          <w:sz w:val="23"/>
          <w:szCs w:val="23"/>
        </w:rPr>
        <w:t>Governments must deepen their relationships with Aboriginal and Torres Strait Islander peoples. This means understanding what matters to communities and continuing to build capability for genuine collaboration and partnership, acknowledging the differing priorities and challenges in different places across urban, regional and remote Australia.</w:t>
      </w:r>
    </w:p>
    <w:p w14:paraId="7A10EFB5" w14:textId="77777777" w:rsidR="007F6784" w:rsidRPr="00444D48" w:rsidRDefault="007F6784" w:rsidP="008B7B4E">
      <w:pPr>
        <w:spacing w:line="264" w:lineRule="auto"/>
        <w:rPr>
          <w:rFonts w:ascii="Arial" w:hAnsi="Arial" w:cs="Arial"/>
          <w:sz w:val="23"/>
          <w:szCs w:val="23"/>
        </w:rPr>
      </w:pPr>
      <w:r w:rsidRPr="00444D48">
        <w:rPr>
          <w:rFonts w:ascii="Arial" w:hAnsi="Arial" w:cs="Arial"/>
          <w:sz w:val="23"/>
          <w:szCs w:val="23"/>
        </w:rPr>
        <w:t>All Australian governments are committed to working cooperatively in partnership with Aboriginal and Torres Strait Islander peoples, and their communities, to positively transform life outcomes for Aboriginal and Torres Strait Islander peoples.</w:t>
      </w:r>
    </w:p>
    <w:p w14:paraId="76C8DFEC" w14:textId="77777777" w:rsidR="00FA79A3" w:rsidRPr="00444D48" w:rsidRDefault="00FA79A3" w:rsidP="008B7B4E">
      <w:pPr>
        <w:spacing w:line="264" w:lineRule="auto"/>
        <w:rPr>
          <w:rFonts w:ascii="Arial" w:hAnsi="Arial" w:cs="Arial"/>
          <w:sz w:val="23"/>
          <w:szCs w:val="23"/>
        </w:rPr>
      </w:pPr>
      <w:r w:rsidRPr="00444D48">
        <w:rPr>
          <w:rFonts w:ascii="Arial" w:hAnsi="Arial" w:cs="Arial"/>
          <w:sz w:val="23"/>
          <w:szCs w:val="23"/>
        </w:rPr>
        <w:t xml:space="preserve">COAG recognises that progress reports over the </w:t>
      </w:r>
      <w:r w:rsidR="0071309A" w:rsidRPr="00444D48">
        <w:rPr>
          <w:rFonts w:ascii="Arial" w:hAnsi="Arial" w:cs="Arial"/>
          <w:sz w:val="23"/>
          <w:szCs w:val="23"/>
        </w:rPr>
        <w:t xml:space="preserve">past </w:t>
      </w:r>
      <w:r w:rsidRPr="00444D48">
        <w:rPr>
          <w:rFonts w:ascii="Arial" w:hAnsi="Arial" w:cs="Arial"/>
          <w:sz w:val="23"/>
          <w:szCs w:val="23"/>
        </w:rPr>
        <w:t>decade confirm that closing the gap in remote Australia requires particular focus,</w:t>
      </w:r>
      <w:r w:rsidR="00021174" w:rsidRPr="00444D48">
        <w:rPr>
          <w:rFonts w:ascii="Arial" w:hAnsi="Arial" w:cs="Arial"/>
          <w:sz w:val="23"/>
          <w:szCs w:val="23"/>
        </w:rPr>
        <w:t xml:space="preserve"> recognising the rich cultural strengths as well as the need for targeted approaches to address disadvantage in these areas.</w:t>
      </w:r>
    </w:p>
    <w:p w14:paraId="1343539A" w14:textId="77777777" w:rsidR="00747F09" w:rsidRPr="00444D48" w:rsidRDefault="00747F09" w:rsidP="008B7B4E">
      <w:pPr>
        <w:spacing w:line="264" w:lineRule="auto"/>
        <w:rPr>
          <w:rFonts w:ascii="Arial" w:hAnsi="Arial" w:cs="Arial"/>
          <w:sz w:val="23"/>
          <w:szCs w:val="23"/>
        </w:rPr>
      </w:pPr>
      <w:r w:rsidRPr="00444D48">
        <w:rPr>
          <w:rFonts w:ascii="Arial" w:hAnsi="Arial" w:cs="Arial"/>
          <w:sz w:val="23"/>
          <w:szCs w:val="23"/>
        </w:rPr>
        <w:t>COAG acknowledges th</w:t>
      </w:r>
      <w:r w:rsidR="00E5621D" w:rsidRPr="00444D48">
        <w:rPr>
          <w:rFonts w:ascii="Arial" w:hAnsi="Arial" w:cs="Arial"/>
          <w:sz w:val="23"/>
          <w:szCs w:val="23"/>
        </w:rPr>
        <w:t>at</w:t>
      </w:r>
      <w:r w:rsidRPr="00444D48">
        <w:rPr>
          <w:rFonts w:ascii="Arial" w:hAnsi="Arial" w:cs="Arial"/>
          <w:sz w:val="23"/>
          <w:szCs w:val="23"/>
        </w:rPr>
        <w:t xml:space="preserve"> culture</w:t>
      </w:r>
      <w:r w:rsidR="00E5621D" w:rsidRPr="00444D48">
        <w:rPr>
          <w:rFonts w:ascii="Arial" w:hAnsi="Arial" w:cs="Arial"/>
          <w:sz w:val="23"/>
          <w:szCs w:val="23"/>
        </w:rPr>
        <w:t xml:space="preserve"> is fundamental</w:t>
      </w:r>
      <w:r w:rsidRPr="00444D48">
        <w:rPr>
          <w:rFonts w:ascii="Arial" w:hAnsi="Arial" w:cs="Arial"/>
          <w:sz w:val="23"/>
          <w:szCs w:val="23"/>
        </w:rPr>
        <w:t xml:space="preserve"> to Aboriginal and Torres Strait Islander peoples’ strength and identity. COAG further acknowledges the </w:t>
      </w:r>
      <w:r w:rsidR="009B639E" w:rsidRPr="00444D48">
        <w:rPr>
          <w:rFonts w:ascii="Arial" w:hAnsi="Arial" w:cs="Arial"/>
          <w:sz w:val="23"/>
          <w:szCs w:val="23"/>
        </w:rPr>
        <w:t xml:space="preserve">impacts </w:t>
      </w:r>
      <w:r w:rsidRPr="00444D48">
        <w:rPr>
          <w:rFonts w:ascii="Arial" w:hAnsi="Arial" w:cs="Arial"/>
          <w:sz w:val="23"/>
          <w:szCs w:val="23"/>
        </w:rPr>
        <w:t>of historical wrongs and trauma faced by Aboriginal and Torres Strait Islander people</w:t>
      </w:r>
      <w:r w:rsidR="00723E56" w:rsidRPr="00444D48">
        <w:rPr>
          <w:rFonts w:ascii="Arial" w:hAnsi="Arial" w:cs="Arial"/>
          <w:sz w:val="23"/>
          <w:szCs w:val="23"/>
        </w:rPr>
        <w:t>s</w:t>
      </w:r>
      <w:r w:rsidRPr="00444D48">
        <w:rPr>
          <w:rFonts w:ascii="Arial" w:hAnsi="Arial" w:cs="Arial"/>
          <w:sz w:val="23"/>
          <w:szCs w:val="23"/>
        </w:rPr>
        <w:t xml:space="preserve"> and families.</w:t>
      </w:r>
    </w:p>
    <w:p w14:paraId="18EAFFF5" w14:textId="77777777" w:rsidR="007F6784" w:rsidRPr="00444D48" w:rsidRDefault="00747F09" w:rsidP="008B7B4E">
      <w:pPr>
        <w:spacing w:line="264" w:lineRule="auto"/>
        <w:rPr>
          <w:rFonts w:ascii="Arial" w:hAnsi="Arial" w:cs="Arial"/>
          <w:sz w:val="23"/>
          <w:szCs w:val="23"/>
        </w:rPr>
      </w:pPr>
      <w:r w:rsidRPr="00444D48">
        <w:rPr>
          <w:rFonts w:ascii="Arial" w:hAnsi="Arial" w:cs="Arial"/>
          <w:sz w:val="23"/>
          <w:szCs w:val="23"/>
        </w:rPr>
        <w:t>All Australian governments recognise the need to address intergenerational change, racism</w:t>
      </w:r>
      <w:r w:rsidR="00163380" w:rsidRPr="00444D48">
        <w:rPr>
          <w:rFonts w:ascii="Arial" w:hAnsi="Arial" w:cs="Arial"/>
          <w:sz w:val="23"/>
          <w:szCs w:val="23"/>
        </w:rPr>
        <w:t xml:space="preserve">, </w:t>
      </w:r>
      <w:r w:rsidRPr="00444D48">
        <w:rPr>
          <w:rFonts w:ascii="Arial" w:hAnsi="Arial" w:cs="Arial"/>
          <w:sz w:val="23"/>
          <w:szCs w:val="23"/>
        </w:rPr>
        <w:t>discrimination</w:t>
      </w:r>
      <w:r w:rsidR="00163380" w:rsidRPr="00444D48">
        <w:rPr>
          <w:rFonts w:ascii="Arial" w:hAnsi="Arial" w:cs="Arial"/>
          <w:sz w:val="23"/>
          <w:szCs w:val="23"/>
        </w:rPr>
        <w:t xml:space="preserve"> and social inclusion (including in relation to disability, gender and LGBTI</w:t>
      </w:r>
      <w:r w:rsidR="00554225" w:rsidRPr="00444D48">
        <w:rPr>
          <w:rFonts w:ascii="Arial" w:hAnsi="Arial" w:cs="Arial"/>
          <w:sz w:val="23"/>
          <w:szCs w:val="23"/>
        </w:rPr>
        <w:t>Q+</w:t>
      </w:r>
      <w:r w:rsidR="00163380" w:rsidRPr="00444D48">
        <w:rPr>
          <w:rFonts w:ascii="Arial" w:hAnsi="Arial" w:cs="Arial"/>
          <w:sz w:val="23"/>
          <w:szCs w:val="23"/>
        </w:rPr>
        <w:t>)</w:t>
      </w:r>
      <w:r w:rsidRPr="00444D48">
        <w:rPr>
          <w:rFonts w:ascii="Arial" w:hAnsi="Arial" w:cs="Arial"/>
          <w:sz w:val="23"/>
          <w:szCs w:val="23"/>
        </w:rPr>
        <w:t>, healing and trauma, and the promotion of culture and language for Aboriginal and Torres Strait Islander</w:t>
      </w:r>
      <w:r w:rsidR="0060597B" w:rsidRPr="00444D48">
        <w:rPr>
          <w:rFonts w:ascii="Arial" w:hAnsi="Arial" w:cs="Arial"/>
          <w:sz w:val="23"/>
          <w:szCs w:val="23"/>
        </w:rPr>
        <w:t xml:space="preserve"> people</w:t>
      </w:r>
      <w:r w:rsidR="00723E56" w:rsidRPr="00444D48">
        <w:rPr>
          <w:rFonts w:ascii="Arial" w:hAnsi="Arial" w:cs="Arial"/>
          <w:sz w:val="23"/>
          <w:szCs w:val="23"/>
        </w:rPr>
        <w:t>s</w:t>
      </w:r>
      <w:r w:rsidR="0060597B" w:rsidRPr="00444D48">
        <w:rPr>
          <w:rFonts w:ascii="Arial" w:hAnsi="Arial" w:cs="Arial"/>
          <w:sz w:val="23"/>
          <w:szCs w:val="23"/>
        </w:rPr>
        <w:t>.</w:t>
      </w:r>
      <w:r w:rsidRPr="00444D48">
        <w:rPr>
          <w:rFonts w:ascii="Arial" w:hAnsi="Arial" w:cs="Arial"/>
          <w:sz w:val="23"/>
          <w:szCs w:val="23"/>
        </w:rPr>
        <w:t xml:space="preserve"> </w:t>
      </w:r>
      <w:r w:rsidR="0060597B" w:rsidRPr="00444D48">
        <w:rPr>
          <w:rFonts w:ascii="Arial" w:hAnsi="Arial" w:cs="Arial"/>
          <w:sz w:val="23"/>
          <w:szCs w:val="23"/>
        </w:rPr>
        <w:t xml:space="preserve">These will be taken into account as cross system priorities for </w:t>
      </w:r>
      <w:r w:rsidR="006A0811" w:rsidRPr="00444D48">
        <w:rPr>
          <w:rFonts w:ascii="Arial" w:hAnsi="Arial" w:cs="Arial"/>
          <w:sz w:val="23"/>
          <w:szCs w:val="23"/>
        </w:rPr>
        <w:t xml:space="preserve">all </w:t>
      </w:r>
      <w:r w:rsidRPr="00444D48">
        <w:rPr>
          <w:rFonts w:ascii="Arial" w:hAnsi="Arial" w:cs="Arial"/>
          <w:sz w:val="23"/>
          <w:szCs w:val="23"/>
        </w:rPr>
        <w:t xml:space="preserve">policy </w:t>
      </w:r>
      <w:r w:rsidR="0060597B" w:rsidRPr="00444D48">
        <w:rPr>
          <w:rFonts w:ascii="Arial" w:hAnsi="Arial" w:cs="Arial"/>
          <w:sz w:val="23"/>
          <w:szCs w:val="23"/>
        </w:rPr>
        <w:t xml:space="preserve">areas </w:t>
      </w:r>
      <w:r w:rsidRPr="00444D48">
        <w:rPr>
          <w:rFonts w:ascii="Arial" w:hAnsi="Arial" w:cs="Arial"/>
          <w:sz w:val="23"/>
          <w:szCs w:val="23"/>
        </w:rPr>
        <w:t>of the Closing the Gap agenda</w:t>
      </w:r>
      <w:r w:rsidR="00B2479C" w:rsidRPr="00444D48">
        <w:rPr>
          <w:rFonts w:ascii="Arial" w:hAnsi="Arial" w:cs="Arial"/>
          <w:sz w:val="23"/>
          <w:szCs w:val="23"/>
        </w:rPr>
        <w:t>.</w:t>
      </w:r>
      <w:r w:rsidR="00FD4502" w:rsidRPr="00444D48">
        <w:rPr>
          <w:rFonts w:ascii="Arial" w:hAnsi="Arial" w:cs="Arial"/>
          <w:sz w:val="23"/>
          <w:szCs w:val="23"/>
        </w:rPr>
        <w:t xml:space="preserve"> </w:t>
      </w:r>
      <w:r w:rsidR="00163380" w:rsidRPr="00444D48">
        <w:rPr>
          <w:rFonts w:ascii="Arial" w:hAnsi="Arial" w:cs="Arial"/>
          <w:sz w:val="23"/>
          <w:szCs w:val="23"/>
        </w:rPr>
        <w:t xml:space="preserve">Cross system priorities require action across multiple targets. </w:t>
      </w:r>
    </w:p>
    <w:p w14:paraId="0A6A18A6" w14:textId="77777777" w:rsidR="00343F43" w:rsidRPr="00444D48" w:rsidRDefault="007F6784" w:rsidP="008B7B4E">
      <w:pPr>
        <w:spacing w:line="264" w:lineRule="auto"/>
        <w:rPr>
          <w:rFonts w:ascii="Arial" w:hAnsi="Arial" w:cs="Arial"/>
          <w:sz w:val="23"/>
          <w:szCs w:val="23"/>
        </w:rPr>
      </w:pPr>
      <w:r w:rsidRPr="00444D48">
        <w:rPr>
          <w:rFonts w:ascii="Arial" w:hAnsi="Arial" w:cs="Arial"/>
          <w:b/>
          <w:sz w:val="23"/>
          <w:szCs w:val="23"/>
        </w:rPr>
        <w:lastRenderedPageBreak/>
        <w:t>REFRESHED TARGETS</w:t>
      </w:r>
    </w:p>
    <w:p w14:paraId="23404617" w14:textId="77777777" w:rsidR="003F37E7" w:rsidRPr="00444D48" w:rsidRDefault="00F16BF9" w:rsidP="008B7B4E">
      <w:pPr>
        <w:spacing w:line="264" w:lineRule="auto"/>
        <w:rPr>
          <w:rFonts w:ascii="Arial" w:hAnsi="Arial" w:cs="Arial"/>
          <w:sz w:val="23"/>
          <w:szCs w:val="23"/>
        </w:rPr>
      </w:pPr>
      <w:r w:rsidRPr="00444D48">
        <w:rPr>
          <w:rFonts w:ascii="Arial" w:hAnsi="Arial" w:cs="Arial"/>
          <w:sz w:val="23"/>
          <w:szCs w:val="23"/>
        </w:rPr>
        <w:t xml:space="preserve">The Commonwealth, </w:t>
      </w:r>
      <w:r w:rsidR="008628A8" w:rsidRPr="00444D48">
        <w:rPr>
          <w:rFonts w:ascii="Arial" w:hAnsi="Arial" w:cs="Arial"/>
          <w:sz w:val="23"/>
          <w:szCs w:val="23"/>
        </w:rPr>
        <w:t>s</w:t>
      </w:r>
      <w:r w:rsidRPr="00444D48">
        <w:rPr>
          <w:rFonts w:ascii="Arial" w:hAnsi="Arial" w:cs="Arial"/>
          <w:sz w:val="23"/>
          <w:szCs w:val="23"/>
        </w:rPr>
        <w:t xml:space="preserve">tates and </w:t>
      </w:r>
      <w:r w:rsidR="008628A8" w:rsidRPr="00444D48">
        <w:rPr>
          <w:rFonts w:ascii="Arial" w:hAnsi="Arial" w:cs="Arial"/>
          <w:sz w:val="23"/>
          <w:szCs w:val="23"/>
        </w:rPr>
        <w:t>t</w:t>
      </w:r>
      <w:r w:rsidRPr="00444D48">
        <w:rPr>
          <w:rFonts w:ascii="Arial" w:hAnsi="Arial" w:cs="Arial"/>
          <w:sz w:val="23"/>
          <w:szCs w:val="23"/>
        </w:rPr>
        <w:t xml:space="preserve">erritories </w:t>
      </w:r>
      <w:r w:rsidR="00804AE1" w:rsidRPr="00444D48">
        <w:rPr>
          <w:rFonts w:ascii="Arial" w:hAnsi="Arial" w:cs="Arial"/>
          <w:sz w:val="23"/>
          <w:szCs w:val="23"/>
        </w:rPr>
        <w:t>share</w:t>
      </w:r>
      <w:r w:rsidR="00E32F8F" w:rsidRPr="00444D48">
        <w:rPr>
          <w:rFonts w:ascii="Arial" w:hAnsi="Arial" w:cs="Arial"/>
          <w:sz w:val="23"/>
          <w:szCs w:val="23"/>
        </w:rPr>
        <w:t xml:space="preserve"> accountability for the </w:t>
      </w:r>
      <w:r w:rsidR="003772F7" w:rsidRPr="00444D48">
        <w:rPr>
          <w:rFonts w:ascii="Arial" w:hAnsi="Arial" w:cs="Arial"/>
          <w:sz w:val="23"/>
          <w:szCs w:val="23"/>
        </w:rPr>
        <w:t>r</w:t>
      </w:r>
      <w:r w:rsidR="00E32F8F" w:rsidRPr="00444D48">
        <w:rPr>
          <w:rFonts w:ascii="Arial" w:hAnsi="Arial" w:cs="Arial"/>
          <w:sz w:val="23"/>
          <w:szCs w:val="23"/>
        </w:rPr>
        <w:t xml:space="preserve">efreshed Closing the Gap agenda and </w:t>
      </w:r>
      <w:r w:rsidR="00153B3D" w:rsidRPr="00444D48">
        <w:rPr>
          <w:rFonts w:ascii="Arial" w:hAnsi="Arial" w:cs="Arial"/>
          <w:sz w:val="23"/>
          <w:szCs w:val="23"/>
        </w:rPr>
        <w:t xml:space="preserve">are jointly accountable </w:t>
      </w:r>
      <w:r w:rsidRPr="00444D48">
        <w:rPr>
          <w:rFonts w:ascii="Arial" w:hAnsi="Arial" w:cs="Arial"/>
          <w:sz w:val="23"/>
          <w:szCs w:val="23"/>
        </w:rPr>
        <w:t xml:space="preserve">outcomes for Aboriginal and Torres Strait Islander peoples. </w:t>
      </w:r>
      <w:r w:rsidR="00581A6B" w:rsidRPr="00444D48">
        <w:rPr>
          <w:rFonts w:ascii="Arial" w:hAnsi="Arial" w:cs="Arial"/>
          <w:sz w:val="23"/>
          <w:szCs w:val="23"/>
        </w:rPr>
        <w:t>COAG commits to work</w:t>
      </w:r>
      <w:r w:rsidR="00462392" w:rsidRPr="00444D48">
        <w:rPr>
          <w:rFonts w:ascii="Arial" w:hAnsi="Arial" w:cs="Arial"/>
          <w:sz w:val="23"/>
          <w:szCs w:val="23"/>
        </w:rPr>
        <w:t>ing</w:t>
      </w:r>
      <w:r w:rsidR="00581A6B" w:rsidRPr="00444D48">
        <w:rPr>
          <w:rFonts w:ascii="Arial" w:hAnsi="Arial" w:cs="Arial"/>
          <w:sz w:val="23"/>
          <w:szCs w:val="23"/>
        </w:rPr>
        <w:t xml:space="preserve"> together to improve outcomes in every priority area </w:t>
      </w:r>
      <w:r w:rsidR="008628A8" w:rsidRPr="00444D48">
        <w:rPr>
          <w:rFonts w:ascii="Arial" w:hAnsi="Arial" w:cs="Arial"/>
          <w:sz w:val="23"/>
          <w:szCs w:val="23"/>
        </w:rPr>
        <w:t>of the Closing the Gap</w:t>
      </w:r>
      <w:r w:rsidR="009B639E" w:rsidRPr="00444D48">
        <w:rPr>
          <w:rFonts w:ascii="Arial" w:hAnsi="Arial" w:cs="Arial"/>
          <w:sz w:val="23"/>
          <w:szCs w:val="23"/>
        </w:rPr>
        <w:t xml:space="preserve"> Refresh</w:t>
      </w:r>
      <w:r w:rsidR="00581A6B" w:rsidRPr="00444D48">
        <w:rPr>
          <w:rFonts w:ascii="Arial" w:hAnsi="Arial" w:cs="Arial"/>
          <w:sz w:val="23"/>
          <w:szCs w:val="23"/>
        </w:rPr>
        <w:t xml:space="preserve">. </w:t>
      </w:r>
    </w:p>
    <w:p w14:paraId="73CD9327" w14:textId="77777777" w:rsidR="00C874AF" w:rsidRPr="00444D48" w:rsidRDefault="00C874AF" w:rsidP="008B7B4E">
      <w:pPr>
        <w:spacing w:before="120" w:line="264" w:lineRule="auto"/>
        <w:rPr>
          <w:rFonts w:ascii="Arial" w:hAnsi="Arial" w:cs="Arial"/>
          <w:sz w:val="23"/>
          <w:szCs w:val="23"/>
        </w:rPr>
      </w:pPr>
      <w:r w:rsidRPr="00444D48">
        <w:rPr>
          <w:rFonts w:ascii="Arial" w:hAnsi="Arial" w:cs="Arial"/>
          <w:sz w:val="23"/>
          <w:szCs w:val="23"/>
        </w:rPr>
        <w:t xml:space="preserve">The refreshed Closing the Gap </w:t>
      </w:r>
      <w:r w:rsidR="001603D2" w:rsidRPr="00444D48">
        <w:rPr>
          <w:rFonts w:ascii="Arial" w:hAnsi="Arial" w:cs="Arial"/>
          <w:sz w:val="23"/>
          <w:szCs w:val="23"/>
        </w:rPr>
        <w:t xml:space="preserve">agenda </w:t>
      </w:r>
      <w:r w:rsidR="009B639E" w:rsidRPr="00444D48">
        <w:rPr>
          <w:rFonts w:ascii="Arial" w:hAnsi="Arial" w:cs="Arial"/>
          <w:sz w:val="23"/>
          <w:szCs w:val="23"/>
        </w:rPr>
        <w:t xml:space="preserve">will </w:t>
      </w:r>
      <w:r w:rsidRPr="00444D48">
        <w:rPr>
          <w:rFonts w:ascii="Arial" w:hAnsi="Arial" w:cs="Arial"/>
          <w:sz w:val="23"/>
          <w:szCs w:val="23"/>
        </w:rPr>
        <w:t>commit to targets that all governments will be accountable to the community for achieving. This approach reflects the roles and responsibilities as set out by the National Indigenous Reform Agreement (NIRA), and specified in respective National Agreement</w:t>
      </w:r>
      <w:r w:rsidR="0026111D" w:rsidRPr="00444D48">
        <w:rPr>
          <w:rFonts w:ascii="Arial" w:hAnsi="Arial" w:cs="Arial"/>
          <w:sz w:val="23"/>
          <w:szCs w:val="23"/>
        </w:rPr>
        <w:t>s</w:t>
      </w:r>
      <w:r w:rsidRPr="00444D48">
        <w:rPr>
          <w:rFonts w:ascii="Arial" w:hAnsi="Arial" w:cs="Arial"/>
          <w:sz w:val="23"/>
          <w:szCs w:val="23"/>
        </w:rPr>
        <w:t xml:space="preserve">, National Partnerships and other relevant </w:t>
      </w:r>
      <w:r w:rsidR="0026111D" w:rsidRPr="00444D48">
        <w:rPr>
          <w:rFonts w:ascii="Arial" w:hAnsi="Arial" w:cs="Arial"/>
          <w:sz w:val="23"/>
          <w:szCs w:val="23"/>
        </w:rPr>
        <w:t>b</w:t>
      </w:r>
      <w:r w:rsidRPr="00444D48">
        <w:rPr>
          <w:rFonts w:ascii="Arial" w:hAnsi="Arial" w:cs="Arial"/>
          <w:sz w:val="23"/>
          <w:szCs w:val="23"/>
        </w:rPr>
        <w:t xml:space="preserve">ilateral </w:t>
      </w:r>
      <w:r w:rsidR="0026111D" w:rsidRPr="00444D48">
        <w:rPr>
          <w:rFonts w:ascii="Arial" w:hAnsi="Arial" w:cs="Arial"/>
          <w:sz w:val="23"/>
          <w:szCs w:val="23"/>
        </w:rPr>
        <w:t>agreements</w:t>
      </w:r>
      <w:r w:rsidRPr="00444D48">
        <w:rPr>
          <w:rFonts w:ascii="Arial" w:hAnsi="Arial" w:cs="Arial"/>
          <w:sz w:val="23"/>
          <w:szCs w:val="23"/>
        </w:rPr>
        <w:t xml:space="preserve">. </w:t>
      </w:r>
    </w:p>
    <w:p w14:paraId="30934537" w14:textId="77777777" w:rsidR="00A36E16" w:rsidRPr="00444D48" w:rsidRDefault="00C874AF" w:rsidP="008B7B4E">
      <w:pPr>
        <w:spacing w:before="120" w:line="264" w:lineRule="auto"/>
        <w:rPr>
          <w:rFonts w:ascii="Arial" w:hAnsi="Arial" w:cs="Arial"/>
          <w:sz w:val="23"/>
          <w:szCs w:val="23"/>
        </w:rPr>
      </w:pPr>
      <w:r w:rsidRPr="00444D48">
        <w:rPr>
          <w:rFonts w:ascii="Arial" w:hAnsi="Arial" w:cs="Arial"/>
          <w:sz w:val="23"/>
          <w:szCs w:val="23"/>
        </w:rPr>
        <w:t xml:space="preserve">While overall accountability for the framework is shared, different levels of government </w:t>
      </w:r>
      <w:r w:rsidR="00A36E16" w:rsidRPr="00444D48">
        <w:rPr>
          <w:rFonts w:ascii="Arial" w:hAnsi="Arial" w:cs="Arial"/>
          <w:sz w:val="23"/>
          <w:szCs w:val="23"/>
        </w:rPr>
        <w:t xml:space="preserve">will </w:t>
      </w:r>
      <w:r w:rsidRPr="00444D48">
        <w:rPr>
          <w:rFonts w:ascii="Arial" w:hAnsi="Arial" w:cs="Arial"/>
          <w:sz w:val="23"/>
          <w:szCs w:val="23"/>
        </w:rPr>
        <w:t xml:space="preserve">have lead responsibility for specific targets. </w:t>
      </w:r>
      <w:r w:rsidR="004F58BD" w:rsidRPr="00444D48">
        <w:rPr>
          <w:rFonts w:ascii="Arial" w:hAnsi="Arial" w:cs="Arial"/>
          <w:sz w:val="23"/>
          <w:szCs w:val="23"/>
        </w:rPr>
        <w:t>The lead jurisdiction is the level of government</w:t>
      </w:r>
      <w:r w:rsidRPr="00444D48">
        <w:rPr>
          <w:rFonts w:ascii="Arial" w:hAnsi="Arial" w:cs="Arial"/>
          <w:sz w:val="23"/>
          <w:szCs w:val="23"/>
        </w:rPr>
        <w:t xml:space="preserve"> responsible for monitoring reports against progress and initiating further action if that target is not on track, including </w:t>
      </w:r>
      <w:r w:rsidR="00B51991" w:rsidRPr="00444D48">
        <w:rPr>
          <w:rFonts w:ascii="Arial" w:hAnsi="Arial" w:cs="Arial"/>
          <w:sz w:val="23"/>
          <w:szCs w:val="23"/>
        </w:rPr>
        <w:t>through relevant</w:t>
      </w:r>
      <w:r w:rsidR="0026111D" w:rsidRPr="00444D48">
        <w:rPr>
          <w:rFonts w:ascii="Arial" w:hAnsi="Arial" w:cs="Arial"/>
          <w:sz w:val="23"/>
          <w:szCs w:val="23"/>
        </w:rPr>
        <w:t xml:space="preserve"> COAG </w:t>
      </w:r>
      <w:r w:rsidR="00B51991" w:rsidRPr="00444D48">
        <w:rPr>
          <w:rFonts w:ascii="Arial" w:hAnsi="Arial" w:cs="Arial"/>
          <w:sz w:val="23"/>
          <w:szCs w:val="23"/>
        </w:rPr>
        <w:t>bodies</w:t>
      </w:r>
      <w:r w:rsidRPr="00444D48">
        <w:rPr>
          <w:rFonts w:ascii="Arial" w:hAnsi="Arial" w:cs="Arial"/>
          <w:sz w:val="23"/>
          <w:szCs w:val="23"/>
        </w:rPr>
        <w:t>.</w:t>
      </w:r>
    </w:p>
    <w:p w14:paraId="1CD3272C" w14:textId="77777777" w:rsidR="00C874AF" w:rsidRPr="00444D48" w:rsidRDefault="00C874AF" w:rsidP="008B7B4E">
      <w:pPr>
        <w:spacing w:before="120" w:line="264" w:lineRule="auto"/>
        <w:rPr>
          <w:rFonts w:ascii="Arial" w:hAnsi="Arial" w:cs="Arial"/>
          <w:sz w:val="23"/>
          <w:szCs w:val="23"/>
        </w:rPr>
      </w:pPr>
      <w:r w:rsidRPr="00444D48">
        <w:rPr>
          <w:rFonts w:ascii="Arial" w:hAnsi="Arial" w:cs="Arial"/>
          <w:sz w:val="23"/>
          <w:szCs w:val="23"/>
        </w:rPr>
        <w:t>The refreshed framework recognises that one level of government may have a greater role in policy and program delivery in relation to a particular target while another level of government may play a greater role in funding, legislative or regulatory functions. Meeting specific targets will require the collaborativ</w:t>
      </w:r>
      <w:r w:rsidR="00723E56" w:rsidRPr="00444D48">
        <w:rPr>
          <w:rFonts w:ascii="Arial" w:hAnsi="Arial" w:cs="Arial"/>
          <w:sz w:val="23"/>
          <w:szCs w:val="23"/>
        </w:rPr>
        <w:t>e efforts of the Commonwealth, states and t</w:t>
      </w:r>
      <w:r w:rsidRPr="00444D48">
        <w:rPr>
          <w:rFonts w:ascii="Arial" w:hAnsi="Arial" w:cs="Arial"/>
          <w:sz w:val="23"/>
          <w:szCs w:val="23"/>
        </w:rPr>
        <w:t>erritories, regardless of which level of government has lead responsibility. Commonwealth, state and territory actions for each target will be set out in jurisdictional action plans, and may vary between jurisdictions. COAG acknowledges that all priority areas have interdependent social, economic and health determinants that impact the achievement of outcomes and targets.</w:t>
      </w:r>
    </w:p>
    <w:p w14:paraId="6B9294CE" w14:textId="77777777" w:rsidR="00E30C02" w:rsidRPr="00444D48" w:rsidRDefault="002C1000" w:rsidP="008B7B4E">
      <w:pPr>
        <w:spacing w:after="200" w:line="264" w:lineRule="auto"/>
        <w:rPr>
          <w:rFonts w:ascii="Arial" w:hAnsi="Arial" w:cs="Arial"/>
          <w:color w:val="2E74B5"/>
          <w:sz w:val="23"/>
          <w:szCs w:val="23"/>
        </w:rPr>
      </w:pPr>
      <w:r w:rsidRPr="00444D48">
        <w:rPr>
          <w:rFonts w:ascii="Arial" w:hAnsi="Arial" w:cs="Arial"/>
          <w:sz w:val="23"/>
          <w:szCs w:val="23"/>
        </w:rPr>
        <w:t>Through a co-design approach, jurisdictional a</w:t>
      </w:r>
      <w:r w:rsidR="00E30C02" w:rsidRPr="00444D48">
        <w:rPr>
          <w:rFonts w:ascii="Arial" w:hAnsi="Arial" w:cs="Arial"/>
          <w:sz w:val="23"/>
          <w:szCs w:val="23"/>
        </w:rPr>
        <w:t>ction plans</w:t>
      </w:r>
      <w:r w:rsidR="008F6F0A" w:rsidRPr="00444D48">
        <w:rPr>
          <w:rFonts w:ascii="Arial" w:hAnsi="Arial" w:cs="Arial"/>
          <w:sz w:val="23"/>
          <w:szCs w:val="23"/>
        </w:rPr>
        <w:t xml:space="preserve"> will </w:t>
      </w:r>
      <w:r w:rsidR="00CA702B" w:rsidRPr="00444D48">
        <w:rPr>
          <w:rFonts w:ascii="Arial" w:hAnsi="Arial" w:cs="Arial"/>
          <w:sz w:val="23"/>
          <w:szCs w:val="23"/>
        </w:rPr>
        <w:t xml:space="preserve">be </w:t>
      </w:r>
      <w:r w:rsidR="008F6F0A" w:rsidRPr="00444D48">
        <w:rPr>
          <w:rFonts w:ascii="Arial" w:hAnsi="Arial" w:cs="Arial"/>
          <w:sz w:val="23"/>
          <w:szCs w:val="23"/>
        </w:rPr>
        <w:t>develop</w:t>
      </w:r>
      <w:r w:rsidR="00CA702B" w:rsidRPr="00444D48">
        <w:rPr>
          <w:rFonts w:ascii="Arial" w:hAnsi="Arial" w:cs="Arial"/>
          <w:sz w:val="23"/>
          <w:szCs w:val="23"/>
        </w:rPr>
        <w:t>ed</w:t>
      </w:r>
      <w:r w:rsidR="008F6F0A" w:rsidRPr="00444D48">
        <w:rPr>
          <w:rFonts w:ascii="Arial" w:hAnsi="Arial" w:cs="Arial"/>
          <w:sz w:val="23"/>
          <w:szCs w:val="23"/>
        </w:rPr>
        <w:t xml:space="preserve"> </w:t>
      </w:r>
      <w:r w:rsidR="0095119C" w:rsidRPr="00444D48">
        <w:rPr>
          <w:rFonts w:ascii="Arial" w:hAnsi="Arial" w:cs="Arial"/>
          <w:sz w:val="23"/>
          <w:szCs w:val="23"/>
        </w:rPr>
        <w:t>in</w:t>
      </w:r>
      <w:r w:rsidR="00431A83" w:rsidRPr="00444D48">
        <w:rPr>
          <w:rFonts w:ascii="Arial" w:hAnsi="Arial" w:cs="Arial"/>
          <w:sz w:val="23"/>
          <w:szCs w:val="23"/>
        </w:rPr>
        <w:t xml:space="preserve"> genuine</w:t>
      </w:r>
      <w:r w:rsidR="0095119C" w:rsidRPr="00444D48">
        <w:rPr>
          <w:rFonts w:ascii="Arial" w:hAnsi="Arial" w:cs="Arial"/>
          <w:sz w:val="23"/>
          <w:szCs w:val="23"/>
        </w:rPr>
        <w:t xml:space="preserve"> partnership with Aboriginal and Torres Strait Islander communities,</w:t>
      </w:r>
      <w:r w:rsidR="00ED1672" w:rsidRPr="00444D48">
        <w:rPr>
          <w:rFonts w:ascii="Arial" w:hAnsi="Arial" w:cs="Arial"/>
          <w:sz w:val="23"/>
          <w:szCs w:val="23"/>
        </w:rPr>
        <w:t xml:space="preserve"> </w:t>
      </w:r>
      <w:r w:rsidR="000413BD" w:rsidRPr="00444D48">
        <w:rPr>
          <w:rFonts w:ascii="Arial" w:hAnsi="Arial" w:cs="Arial"/>
          <w:sz w:val="23"/>
          <w:szCs w:val="23"/>
        </w:rPr>
        <w:t>set</w:t>
      </w:r>
      <w:r w:rsidR="00784202" w:rsidRPr="00444D48">
        <w:rPr>
          <w:rFonts w:ascii="Arial" w:hAnsi="Arial" w:cs="Arial"/>
          <w:sz w:val="23"/>
          <w:szCs w:val="23"/>
        </w:rPr>
        <w:t>ting</w:t>
      </w:r>
      <w:r w:rsidR="000413BD" w:rsidRPr="00444D48">
        <w:rPr>
          <w:rFonts w:ascii="Arial" w:hAnsi="Arial" w:cs="Arial"/>
          <w:sz w:val="23"/>
          <w:szCs w:val="23"/>
        </w:rPr>
        <w:t xml:space="preserve"> out the </w:t>
      </w:r>
      <w:r w:rsidR="00691838" w:rsidRPr="00444D48">
        <w:rPr>
          <w:rFonts w:ascii="Arial" w:hAnsi="Arial" w:cs="Arial"/>
          <w:sz w:val="23"/>
          <w:szCs w:val="23"/>
        </w:rPr>
        <w:t>progress that needs to be made</w:t>
      </w:r>
      <w:r w:rsidR="003A5B2D" w:rsidRPr="00444D48">
        <w:rPr>
          <w:rFonts w:ascii="Arial" w:hAnsi="Arial" w:cs="Arial"/>
          <w:sz w:val="23"/>
          <w:szCs w:val="23"/>
        </w:rPr>
        <w:t xml:space="preserve"> nationally and</w:t>
      </w:r>
      <w:r w:rsidR="00691838" w:rsidRPr="00444D48">
        <w:rPr>
          <w:rFonts w:ascii="Arial" w:hAnsi="Arial" w:cs="Arial"/>
          <w:sz w:val="23"/>
          <w:szCs w:val="23"/>
        </w:rPr>
        <w:t xml:space="preserve"> </w:t>
      </w:r>
      <w:r w:rsidR="000413BD" w:rsidRPr="00444D48">
        <w:rPr>
          <w:rFonts w:ascii="Arial" w:hAnsi="Arial" w:cs="Arial"/>
          <w:sz w:val="23"/>
          <w:szCs w:val="23"/>
        </w:rPr>
        <w:t>in</w:t>
      </w:r>
      <w:r w:rsidR="00D04386" w:rsidRPr="00444D48">
        <w:rPr>
          <w:rFonts w:ascii="Arial" w:hAnsi="Arial" w:cs="Arial"/>
          <w:sz w:val="23"/>
          <w:szCs w:val="23"/>
        </w:rPr>
        <w:t xml:space="preserve"> each jurisdiction </w:t>
      </w:r>
      <w:r w:rsidR="00691838" w:rsidRPr="00444D48">
        <w:rPr>
          <w:rFonts w:ascii="Arial" w:hAnsi="Arial" w:cs="Arial"/>
          <w:sz w:val="23"/>
          <w:szCs w:val="23"/>
        </w:rPr>
        <w:t>for the target</w:t>
      </w:r>
      <w:r w:rsidR="00B94587" w:rsidRPr="00444D48">
        <w:rPr>
          <w:rFonts w:ascii="Arial" w:hAnsi="Arial" w:cs="Arial"/>
          <w:sz w:val="23"/>
          <w:szCs w:val="23"/>
        </w:rPr>
        <w:t>s</w:t>
      </w:r>
      <w:r w:rsidR="00691838" w:rsidRPr="00444D48">
        <w:rPr>
          <w:rFonts w:ascii="Arial" w:hAnsi="Arial" w:cs="Arial"/>
          <w:sz w:val="23"/>
          <w:szCs w:val="23"/>
        </w:rPr>
        <w:t xml:space="preserve"> to be met</w:t>
      </w:r>
      <w:r w:rsidR="000413BD" w:rsidRPr="00444D48">
        <w:rPr>
          <w:rFonts w:ascii="Arial" w:hAnsi="Arial" w:cs="Arial"/>
          <w:sz w:val="23"/>
          <w:szCs w:val="23"/>
        </w:rPr>
        <w:t xml:space="preserve">. </w:t>
      </w:r>
      <w:r w:rsidR="003A5B2D" w:rsidRPr="00444D48">
        <w:rPr>
          <w:rFonts w:ascii="Arial" w:hAnsi="Arial" w:cs="Arial"/>
          <w:sz w:val="23"/>
          <w:szCs w:val="23"/>
        </w:rPr>
        <w:t>Acti</w:t>
      </w:r>
      <w:r w:rsidR="00B94587" w:rsidRPr="00444D48">
        <w:rPr>
          <w:rFonts w:ascii="Arial" w:hAnsi="Arial" w:cs="Arial"/>
          <w:sz w:val="23"/>
          <w:szCs w:val="23"/>
        </w:rPr>
        <w:t>o</w:t>
      </w:r>
      <w:r w:rsidR="003A5B2D" w:rsidRPr="00444D48">
        <w:rPr>
          <w:rFonts w:ascii="Arial" w:hAnsi="Arial" w:cs="Arial"/>
          <w:sz w:val="23"/>
          <w:szCs w:val="23"/>
        </w:rPr>
        <w:t xml:space="preserve">n plans </w:t>
      </w:r>
      <w:r w:rsidR="00EE0BB6" w:rsidRPr="00444D48">
        <w:rPr>
          <w:rFonts w:ascii="Arial" w:hAnsi="Arial" w:cs="Arial"/>
          <w:sz w:val="23"/>
          <w:szCs w:val="23"/>
        </w:rPr>
        <w:t xml:space="preserve">will clearly specify what actions each level of government is accountable for, </w:t>
      </w:r>
      <w:r w:rsidR="003F37E7" w:rsidRPr="00444D48">
        <w:rPr>
          <w:rFonts w:ascii="Arial" w:hAnsi="Arial" w:cs="Arial"/>
          <w:sz w:val="23"/>
          <w:szCs w:val="23"/>
        </w:rPr>
        <w:t xml:space="preserve">inform jurisdictional trajectories for each target </w:t>
      </w:r>
      <w:r w:rsidR="00EE0BB6" w:rsidRPr="00444D48">
        <w:rPr>
          <w:rFonts w:ascii="Arial" w:hAnsi="Arial" w:cs="Arial"/>
          <w:sz w:val="23"/>
          <w:szCs w:val="23"/>
        </w:rPr>
        <w:t xml:space="preserve">and </w:t>
      </w:r>
      <w:r w:rsidR="003A5B2D" w:rsidRPr="00444D48">
        <w:rPr>
          <w:rFonts w:ascii="Arial" w:hAnsi="Arial" w:cs="Arial"/>
          <w:sz w:val="23"/>
          <w:szCs w:val="23"/>
        </w:rPr>
        <w:t>establish how all levels of government will work together and with communities, organisations and other stakeholders to achieve</w:t>
      </w:r>
      <w:r w:rsidR="00B94587" w:rsidRPr="00444D48">
        <w:rPr>
          <w:rFonts w:ascii="Arial" w:hAnsi="Arial" w:cs="Arial"/>
          <w:sz w:val="23"/>
          <w:szCs w:val="23"/>
        </w:rPr>
        <w:t xml:space="preserve"> the targets.</w:t>
      </w:r>
      <w:r w:rsidR="003A5B2D" w:rsidRPr="00444D48">
        <w:rPr>
          <w:rFonts w:ascii="Arial" w:hAnsi="Arial" w:cs="Arial"/>
          <w:sz w:val="23"/>
          <w:szCs w:val="23"/>
        </w:rPr>
        <w:t xml:space="preserve"> </w:t>
      </w:r>
      <w:r w:rsidR="00A17880" w:rsidRPr="00444D48">
        <w:rPr>
          <w:rFonts w:ascii="Arial" w:hAnsi="Arial" w:cs="Arial"/>
          <w:sz w:val="23"/>
          <w:szCs w:val="23"/>
        </w:rPr>
        <w:t>S</w:t>
      </w:r>
      <w:r w:rsidR="008B7B4E" w:rsidRPr="00444D48">
        <w:rPr>
          <w:rFonts w:ascii="Arial" w:hAnsi="Arial" w:cs="Arial"/>
          <w:sz w:val="23"/>
          <w:szCs w:val="23"/>
        </w:rPr>
        <w:t>tarting </w:t>
      </w:r>
      <w:r w:rsidR="002B29B4" w:rsidRPr="00444D48">
        <w:rPr>
          <w:rFonts w:ascii="Arial" w:hAnsi="Arial" w:cs="Arial"/>
          <w:sz w:val="23"/>
          <w:szCs w:val="23"/>
        </w:rPr>
        <w:t>points</w:t>
      </w:r>
      <w:r w:rsidR="00B94587" w:rsidRPr="00444D48">
        <w:rPr>
          <w:rFonts w:ascii="Arial" w:hAnsi="Arial" w:cs="Arial"/>
          <w:sz w:val="23"/>
          <w:szCs w:val="23"/>
        </w:rPr>
        <w:t>, past trends</w:t>
      </w:r>
      <w:r w:rsidR="002B29B4" w:rsidRPr="00444D48">
        <w:rPr>
          <w:rFonts w:ascii="Arial" w:hAnsi="Arial" w:cs="Arial"/>
          <w:sz w:val="23"/>
          <w:szCs w:val="23"/>
        </w:rPr>
        <w:t xml:space="preserve"> and </w:t>
      </w:r>
      <w:r w:rsidR="00B2479C" w:rsidRPr="00444D48">
        <w:rPr>
          <w:rFonts w:ascii="Arial" w:hAnsi="Arial" w:cs="Arial"/>
          <w:sz w:val="23"/>
          <w:szCs w:val="23"/>
        </w:rPr>
        <w:t>local</w:t>
      </w:r>
      <w:r w:rsidR="002B29B4" w:rsidRPr="00444D48">
        <w:rPr>
          <w:rFonts w:ascii="Arial" w:hAnsi="Arial" w:cs="Arial"/>
          <w:sz w:val="23"/>
          <w:szCs w:val="23"/>
        </w:rPr>
        <w:t xml:space="preserve"> circumstance</w:t>
      </w:r>
      <w:r w:rsidR="00A17880" w:rsidRPr="00444D48">
        <w:rPr>
          <w:rFonts w:ascii="Arial" w:hAnsi="Arial" w:cs="Arial"/>
          <w:sz w:val="23"/>
          <w:szCs w:val="23"/>
        </w:rPr>
        <w:t>s differ</w:t>
      </w:r>
      <w:r w:rsidR="00B94587" w:rsidRPr="00444D48">
        <w:rPr>
          <w:rFonts w:ascii="Arial" w:hAnsi="Arial" w:cs="Arial"/>
          <w:sz w:val="23"/>
          <w:szCs w:val="23"/>
        </w:rPr>
        <w:t xml:space="preserve">, </w:t>
      </w:r>
      <w:r w:rsidR="00D549C6" w:rsidRPr="00444D48">
        <w:rPr>
          <w:rFonts w:ascii="Arial" w:hAnsi="Arial" w:cs="Arial"/>
          <w:sz w:val="23"/>
          <w:szCs w:val="23"/>
        </w:rPr>
        <w:t xml:space="preserve">so </w:t>
      </w:r>
      <w:r w:rsidR="00B94587" w:rsidRPr="00444D48">
        <w:rPr>
          <w:rFonts w:ascii="Arial" w:hAnsi="Arial" w:cs="Arial"/>
          <w:sz w:val="23"/>
          <w:szCs w:val="23"/>
        </w:rPr>
        <w:t>jurisdictions</w:t>
      </w:r>
      <w:r w:rsidR="003F37E7" w:rsidRPr="00444D48">
        <w:rPr>
          <w:rFonts w:ascii="Arial" w:hAnsi="Arial" w:cs="Arial"/>
          <w:sz w:val="23"/>
          <w:szCs w:val="23"/>
        </w:rPr>
        <w:t>’</w:t>
      </w:r>
      <w:r w:rsidR="00B94587" w:rsidRPr="00444D48">
        <w:rPr>
          <w:rFonts w:ascii="Arial" w:hAnsi="Arial" w:cs="Arial"/>
          <w:sz w:val="23"/>
          <w:szCs w:val="23"/>
        </w:rPr>
        <w:t xml:space="preserve"> </w:t>
      </w:r>
      <w:r w:rsidR="003B3BB0" w:rsidRPr="00444D48">
        <w:rPr>
          <w:rFonts w:ascii="Arial" w:hAnsi="Arial" w:cs="Arial"/>
          <w:sz w:val="23"/>
          <w:szCs w:val="23"/>
        </w:rPr>
        <w:t xml:space="preserve">trajectories will vary and </w:t>
      </w:r>
      <w:r w:rsidR="00B94587" w:rsidRPr="00444D48">
        <w:rPr>
          <w:rFonts w:ascii="Arial" w:hAnsi="Arial" w:cs="Arial"/>
          <w:sz w:val="23"/>
          <w:szCs w:val="23"/>
        </w:rPr>
        <w:t>may have different</w:t>
      </w:r>
      <w:r w:rsidR="003F13C2" w:rsidRPr="00444D48">
        <w:rPr>
          <w:rFonts w:ascii="Arial" w:hAnsi="Arial" w:cs="Arial"/>
          <w:sz w:val="23"/>
          <w:szCs w:val="23"/>
        </w:rPr>
        <w:t xml:space="preserve"> </w:t>
      </w:r>
      <w:r w:rsidR="00AF3F89" w:rsidRPr="00444D48">
        <w:rPr>
          <w:rFonts w:ascii="Arial" w:hAnsi="Arial" w:cs="Arial"/>
          <w:sz w:val="23"/>
          <w:szCs w:val="23"/>
        </w:rPr>
        <w:t>end</w:t>
      </w:r>
      <w:r w:rsidR="00D60928" w:rsidRPr="00444D48">
        <w:rPr>
          <w:rFonts w:ascii="Arial" w:hAnsi="Arial" w:cs="Arial"/>
          <w:sz w:val="23"/>
          <w:szCs w:val="23"/>
        </w:rPr>
        <w:t>-</w:t>
      </w:r>
      <w:r w:rsidR="00AF3F89" w:rsidRPr="00444D48">
        <w:rPr>
          <w:rFonts w:ascii="Arial" w:hAnsi="Arial" w:cs="Arial"/>
          <w:sz w:val="23"/>
          <w:szCs w:val="23"/>
        </w:rPr>
        <w:t>poin</w:t>
      </w:r>
      <w:r w:rsidR="00824B60" w:rsidRPr="00444D48">
        <w:rPr>
          <w:rFonts w:ascii="Arial" w:hAnsi="Arial" w:cs="Arial"/>
          <w:sz w:val="23"/>
          <w:szCs w:val="23"/>
        </w:rPr>
        <w:t>t</w:t>
      </w:r>
      <w:r w:rsidR="00B94587" w:rsidRPr="00444D48">
        <w:rPr>
          <w:rFonts w:ascii="Arial" w:hAnsi="Arial" w:cs="Arial"/>
          <w:sz w:val="23"/>
          <w:szCs w:val="23"/>
        </w:rPr>
        <w:t>s</w:t>
      </w:r>
      <w:r w:rsidR="00824B60" w:rsidRPr="00444D48">
        <w:rPr>
          <w:rFonts w:ascii="Arial" w:hAnsi="Arial" w:cs="Arial"/>
          <w:sz w:val="23"/>
          <w:szCs w:val="23"/>
        </w:rPr>
        <w:t>.</w:t>
      </w:r>
      <w:r w:rsidR="00AA49A1" w:rsidRPr="00444D48">
        <w:rPr>
          <w:rFonts w:ascii="Arial" w:hAnsi="Arial" w:cs="Arial"/>
          <w:sz w:val="23"/>
          <w:szCs w:val="23"/>
        </w:rPr>
        <w:t xml:space="preserve"> </w:t>
      </w:r>
    </w:p>
    <w:p w14:paraId="71638A29" w14:textId="77777777" w:rsidR="00270CBB" w:rsidRPr="00444D48" w:rsidRDefault="00270CBB" w:rsidP="008B7B4E">
      <w:pPr>
        <w:spacing w:line="264" w:lineRule="auto"/>
        <w:rPr>
          <w:rFonts w:ascii="Arial" w:hAnsi="Arial" w:cs="Arial"/>
          <w:sz w:val="23"/>
          <w:szCs w:val="23"/>
        </w:rPr>
      </w:pPr>
      <w:r w:rsidRPr="00444D48">
        <w:rPr>
          <w:rFonts w:ascii="Arial" w:hAnsi="Arial" w:cs="Arial"/>
          <w:sz w:val="23"/>
          <w:szCs w:val="23"/>
        </w:rPr>
        <w:t xml:space="preserve">COAG recognises that promoting opportunities for Aboriginal and Torres Strait Islander peoples to be involved in business activities contributes to economic and social outcomes for families and communities, and has committed to publishing jurisdiction specific procurement policies, and </w:t>
      </w:r>
      <w:r w:rsidR="00BC586C" w:rsidRPr="00444D48">
        <w:rPr>
          <w:rFonts w:ascii="Arial" w:hAnsi="Arial" w:cs="Arial"/>
          <w:sz w:val="23"/>
          <w:szCs w:val="23"/>
        </w:rPr>
        <w:t xml:space="preserve">Aboriginal and Torres Strait Islander </w:t>
      </w:r>
      <w:r w:rsidRPr="00444D48">
        <w:rPr>
          <w:rFonts w:ascii="Arial" w:hAnsi="Arial" w:cs="Arial"/>
          <w:sz w:val="23"/>
          <w:szCs w:val="23"/>
        </w:rPr>
        <w:t>employment and business outcomes annually.</w:t>
      </w:r>
    </w:p>
    <w:p w14:paraId="650E813D" w14:textId="77777777" w:rsidR="00D73947" w:rsidRPr="00444D48" w:rsidRDefault="00D73947" w:rsidP="003972E5">
      <w:pPr>
        <w:spacing w:line="276" w:lineRule="auto"/>
        <w:rPr>
          <w:rFonts w:ascii="Arial" w:hAnsi="Arial" w:cs="Arial"/>
          <w:b/>
          <w:sz w:val="23"/>
          <w:szCs w:val="23"/>
        </w:rPr>
        <w:sectPr w:rsidR="00D73947" w:rsidRPr="00444D48" w:rsidSect="005B6128">
          <w:footerReference w:type="default" r:id="rId11"/>
          <w:pgSz w:w="11906" w:h="16838"/>
          <w:pgMar w:top="720" w:right="1133" w:bottom="142" w:left="1276" w:header="567" w:footer="422" w:gutter="0"/>
          <w:cols w:space="708"/>
          <w:titlePg/>
          <w:docGrid w:linePitch="360"/>
        </w:sectPr>
      </w:pPr>
    </w:p>
    <w:tbl>
      <w:tblPr>
        <w:tblStyle w:val="TableGrid"/>
        <w:tblW w:w="0" w:type="auto"/>
        <w:tblCellMar>
          <w:top w:w="57" w:type="dxa"/>
          <w:bottom w:w="28" w:type="dxa"/>
        </w:tblCellMar>
        <w:tblLook w:val="04A0" w:firstRow="1" w:lastRow="0" w:firstColumn="1" w:lastColumn="0" w:noHBand="0" w:noVBand="1"/>
      </w:tblPr>
      <w:tblGrid>
        <w:gridCol w:w="2828"/>
        <w:gridCol w:w="2833"/>
        <w:gridCol w:w="9485"/>
      </w:tblGrid>
      <w:tr w:rsidR="00DA30DC" w:rsidRPr="00444D48" w14:paraId="709363D1" w14:textId="77777777" w:rsidTr="00707FED">
        <w:trPr>
          <w:tblHeader/>
        </w:trPr>
        <w:tc>
          <w:tcPr>
            <w:tcW w:w="2830" w:type="dxa"/>
            <w:shd w:val="clear" w:color="auto" w:fill="D9D9D9" w:themeFill="background1" w:themeFillShade="D9"/>
            <w:hideMark/>
          </w:tcPr>
          <w:p w14:paraId="7880DB72" w14:textId="77777777" w:rsidR="00616D18" w:rsidRPr="00444D48" w:rsidRDefault="00616D18" w:rsidP="00A4347A">
            <w:pPr>
              <w:spacing w:before="20" w:after="60"/>
              <w:rPr>
                <w:rFonts w:ascii="Arial" w:hAnsi="Arial" w:cs="Arial"/>
                <w:b/>
                <w:bCs/>
                <w:sz w:val="23"/>
                <w:szCs w:val="23"/>
              </w:rPr>
            </w:pPr>
            <w:r w:rsidRPr="00444D48">
              <w:rPr>
                <w:rFonts w:ascii="Arial" w:hAnsi="Arial" w:cs="Arial"/>
                <w:b/>
                <w:bCs/>
                <w:sz w:val="23"/>
                <w:szCs w:val="23"/>
              </w:rPr>
              <w:lastRenderedPageBreak/>
              <w:t>Outcome statement</w:t>
            </w:r>
          </w:p>
        </w:tc>
        <w:tc>
          <w:tcPr>
            <w:tcW w:w="2835" w:type="dxa"/>
            <w:shd w:val="clear" w:color="auto" w:fill="D9D9D9" w:themeFill="background1" w:themeFillShade="D9"/>
            <w:hideMark/>
          </w:tcPr>
          <w:p w14:paraId="026F9FE6" w14:textId="77777777" w:rsidR="00616D18" w:rsidRPr="00444D48" w:rsidRDefault="00616D18" w:rsidP="00A4347A">
            <w:pPr>
              <w:spacing w:before="20" w:after="60"/>
              <w:rPr>
                <w:rFonts w:ascii="Arial" w:hAnsi="Arial" w:cs="Arial"/>
                <w:b/>
                <w:bCs/>
                <w:sz w:val="23"/>
                <w:szCs w:val="23"/>
              </w:rPr>
            </w:pPr>
            <w:r w:rsidRPr="00444D48">
              <w:rPr>
                <w:rFonts w:ascii="Arial" w:hAnsi="Arial" w:cs="Arial"/>
                <w:b/>
                <w:bCs/>
                <w:sz w:val="23"/>
                <w:szCs w:val="23"/>
              </w:rPr>
              <w:t xml:space="preserve">Desired outcome </w:t>
            </w:r>
          </w:p>
        </w:tc>
        <w:tc>
          <w:tcPr>
            <w:tcW w:w="9498" w:type="dxa"/>
            <w:shd w:val="clear" w:color="auto" w:fill="D9D9D9" w:themeFill="background1" w:themeFillShade="D9"/>
          </w:tcPr>
          <w:p w14:paraId="0F55FB39" w14:textId="77777777" w:rsidR="00616D18" w:rsidRPr="00444D48" w:rsidRDefault="00A06B11" w:rsidP="00A4347A">
            <w:pPr>
              <w:spacing w:before="20" w:after="60"/>
              <w:rPr>
                <w:rFonts w:ascii="Arial" w:hAnsi="Arial" w:cs="Arial"/>
                <w:b/>
                <w:bCs/>
                <w:sz w:val="23"/>
                <w:szCs w:val="23"/>
              </w:rPr>
            </w:pPr>
            <w:r w:rsidRPr="00444D48">
              <w:rPr>
                <w:rFonts w:ascii="Arial" w:hAnsi="Arial" w:cs="Arial"/>
                <w:b/>
                <w:bCs/>
                <w:sz w:val="23"/>
                <w:szCs w:val="23"/>
              </w:rPr>
              <w:t xml:space="preserve">Draft </w:t>
            </w:r>
            <w:r w:rsidR="00616D18" w:rsidRPr="00444D48">
              <w:rPr>
                <w:rFonts w:ascii="Arial" w:hAnsi="Arial" w:cs="Arial"/>
                <w:b/>
                <w:bCs/>
                <w:sz w:val="23"/>
                <w:szCs w:val="23"/>
              </w:rPr>
              <w:t xml:space="preserve">COAG Targets </w:t>
            </w:r>
          </w:p>
        </w:tc>
      </w:tr>
      <w:tr w:rsidR="00375FC1" w:rsidRPr="00444D48" w14:paraId="2674A34B" w14:textId="77777777" w:rsidTr="00A4347A">
        <w:tc>
          <w:tcPr>
            <w:tcW w:w="2830" w:type="dxa"/>
            <w:vMerge w:val="restart"/>
          </w:tcPr>
          <w:p w14:paraId="61693CEA" w14:textId="77777777" w:rsidR="00616D18" w:rsidRPr="00444D48" w:rsidRDefault="00616D18" w:rsidP="00A4347A">
            <w:pPr>
              <w:spacing w:after="160" w:line="276" w:lineRule="auto"/>
              <w:jc w:val="center"/>
              <w:rPr>
                <w:rFonts w:ascii="Arial" w:hAnsi="Arial" w:cs="Arial"/>
                <w:i/>
                <w:sz w:val="22"/>
                <w:szCs w:val="22"/>
              </w:rPr>
            </w:pPr>
            <w:r w:rsidRPr="00444D48">
              <w:rPr>
                <w:rFonts w:ascii="Arial" w:hAnsi="Arial" w:cs="Arial"/>
                <w:i/>
              </w:rPr>
              <w:t>Families, children and youth</w:t>
            </w:r>
          </w:p>
          <w:p w14:paraId="1D52BDBE" w14:textId="77777777" w:rsidR="00616D18" w:rsidRPr="00444D48" w:rsidRDefault="00616D18" w:rsidP="00DA30DC">
            <w:pPr>
              <w:spacing w:after="160" w:line="276" w:lineRule="auto"/>
              <w:rPr>
                <w:rFonts w:ascii="Arial" w:hAnsi="Arial" w:cs="Arial"/>
                <w:b/>
                <w:bCs/>
                <w:sz w:val="22"/>
                <w:szCs w:val="22"/>
              </w:rPr>
            </w:pPr>
            <w:r w:rsidRPr="00444D48">
              <w:rPr>
                <w:rFonts w:ascii="Arial" w:hAnsi="Arial" w:cs="Arial"/>
              </w:rPr>
              <w:t>Aboriginal and Torres Strait Islander children and young people are safe, resilient, and thriving</w:t>
            </w:r>
          </w:p>
        </w:tc>
        <w:tc>
          <w:tcPr>
            <w:tcW w:w="2835" w:type="dxa"/>
            <w:vMerge w:val="restart"/>
          </w:tcPr>
          <w:p w14:paraId="0A45E89C" w14:textId="77777777" w:rsidR="00616D18" w:rsidRPr="00444D48" w:rsidRDefault="00616D18" w:rsidP="00DA30DC">
            <w:pPr>
              <w:spacing w:after="160" w:line="276" w:lineRule="auto"/>
              <w:rPr>
                <w:rFonts w:ascii="Arial" w:hAnsi="Arial" w:cs="Arial"/>
                <w:b/>
                <w:bCs/>
                <w:sz w:val="22"/>
                <w:szCs w:val="22"/>
              </w:rPr>
            </w:pPr>
            <w:r w:rsidRPr="00444D48">
              <w:rPr>
                <w:rFonts w:ascii="Arial" w:hAnsi="Arial" w:cs="Arial"/>
              </w:rPr>
              <w:t>Aboriginal and Torres Strait Islander children thrive in their early years</w:t>
            </w:r>
          </w:p>
          <w:p w14:paraId="36F96032" w14:textId="77777777" w:rsidR="00616D18" w:rsidRPr="00444D48" w:rsidRDefault="00616D18" w:rsidP="00DA30DC">
            <w:pPr>
              <w:spacing w:after="160" w:line="276" w:lineRule="auto"/>
              <w:rPr>
                <w:rFonts w:ascii="Arial" w:hAnsi="Arial" w:cs="Arial"/>
                <w:b/>
                <w:bCs/>
                <w:sz w:val="22"/>
                <w:szCs w:val="22"/>
              </w:rPr>
            </w:pPr>
          </w:p>
        </w:tc>
        <w:tc>
          <w:tcPr>
            <w:tcW w:w="9498" w:type="dxa"/>
          </w:tcPr>
          <w:p w14:paraId="17EC287F" w14:textId="77777777" w:rsidR="00375FC1" w:rsidRPr="00707FED" w:rsidRDefault="00375FC1" w:rsidP="00A4347A">
            <w:pPr>
              <w:spacing w:after="120" w:line="276" w:lineRule="auto"/>
              <w:rPr>
                <w:rFonts w:ascii="Arial" w:eastAsia="Calibri" w:hAnsi="Arial" w:cs="Arial"/>
                <w:sz w:val="22"/>
                <w:szCs w:val="22"/>
              </w:rPr>
            </w:pPr>
            <w:r w:rsidRPr="00444D48">
              <w:rPr>
                <w:rFonts w:ascii="Arial" w:hAnsi="Arial" w:cs="Arial"/>
                <w:b/>
                <w:bCs/>
              </w:rPr>
              <w:t>Commonwealth-led</w:t>
            </w:r>
            <w:r w:rsidR="0059753D" w:rsidRPr="00444D48">
              <w:rPr>
                <w:rFonts w:ascii="Arial" w:hAnsi="Arial" w:cs="Arial"/>
                <w:b/>
                <w:bCs/>
              </w:rPr>
              <w:t xml:space="preserve"> </w:t>
            </w:r>
          </w:p>
          <w:p w14:paraId="59DA4ACE" w14:textId="77777777" w:rsidR="00616D18" w:rsidRPr="00444D48" w:rsidRDefault="00B52584" w:rsidP="00A4347A">
            <w:pPr>
              <w:spacing w:after="120" w:line="276" w:lineRule="auto"/>
              <w:rPr>
                <w:rFonts w:ascii="Arial" w:hAnsi="Arial" w:cs="Arial"/>
                <w:b/>
                <w:bCs/>
                <w:sz w:val="22"/>
                <w:szCs w:val="22"/>
                <w:highlight w:val="green"/>
              </w:rPr>
            </w:pPr>
            <w:r w:rsidRPr="00707FED">
              <w:rPr>
                <w:rFonts w:ascii="Arial" w:eastAsia="Calibri" w:hAnsi="Arial" w:cs="Arial"/>
              </w:rPr>
              <w:t xml:space="preserve">Increase the proportion of </w:t>
            </w:r>
            <w:r w:rsidR="00616D18" w:rsidRPr="00707FED">
              <w:rPr>
                <w:rFonts w:ascii="Arial" w:eastAsia="Calibri" w:hAnsi="Arial" w:cs="Arial"/>
              </w:rPr>
              <w:t>Aboriginal and Torres Strait Islander children assessed as developmentally on track in all five domains of the A</w:t>
            </w:r>
            <w:r w:rsidR="00827DE0" w:rsidRPr="00707FED">
              <w:rPr>
                <w:rFonts w:ascii="Arial" w:eastAsia="Calibri" w:hAnsi="Arial" w:cs="Arial"/>
              </w:rPr>
              <w:t xml:space="preserve">ustralian </w:t>
            </w:r>
            <w:r w:rsidR="00616D18" w:rsidRPr="00707FED">
              <w:rPr>
                <w:rFonts w:ascii="Arial" w:eastAsia="Calibri" w:hAnsi="Arial" w:cs="Arial"/>
              </w:rPr>
              <w:t>E</w:t>
            </w:r>
            <w:r w:rsidR="00827DE0" w:rsidRPr="00707FED">
              <w:rPr>
                <w:rFonts w:ascii="Arial" w:eastAsia="Calibri" w:hAnsi="Arial" w:cs="Arial"/>
              </w:rPr>
              <w:t xml:space="preserve">arly </w:t>
            </w:r>
            <w:r w:rsidR="00616D18" w:rsidRPr="00707FED">
              <w:rPr>
                <w:rFonts w:ascii="Arial" w:eastAsia="Calibri" w:hAnsi="Arial" w:cs="Arial"/>
              </w:rPr>
              <w:t>D</w:t>
            </w:r>
            <w:r w:rsidR="00827DE0" w:rsidRPr="00707FED">
              <w:rPr>
                <w:rFonts w:ascii="Arial" w:eastAsia="Calibri" w:hAnsi="Arial" w:cs="Arial"/>
              </w:rPr>
              <w:t xml:space="preserve">evelopment </w:t>
            </w:r>
            <w:r w:rsidR="00616D18" w:rsidRPr="00707FED">
              <w:rPr>
                <w:rFonts w:ascii="Arial" w:eastAsia="Calibri" w:hAnsi="Arial" w:cs="Arial"/>
              </w:rPr>
              <w:t>C</w:t>
            </w:r>
            <w:r w:rsidR="00827DE0" w:rsidRPr="00707FED">
              <w:rPr>
                <w:rFonts w:ascii="Arial" w:eastAsia="Calibri" w:hAnsi="Arial" w:cs="Arial"/>
              </w:rPr>
              <w:t>ensus</w:t>
            </w:r>
            <w:r w:rsidR="00616D18" w:rsidRPr="00707FED">
              <w:rPr>
                <w:rFonts w:ascii="Arial" w:eastAsia="Calibri" w:hAnsi="Arial" w:cs="Arial"/>
              </w:rPr>
              <w:t xml:space="preserve"> </w:t>
            </w:r>
            <w:r w:rsidR="009A3A6D" w:rsidRPr="00707FED">
              <w:rPr>
                <w:rFonts w:ascii="Arial" w:eastAsia="Calibri" w:hAnsi="Arial" w:cs="Arial"/>
              </w:rPr>
              <w:t>to</w:t>
            </w:r>
            <w:r w:rsidR="00616D18" w:rsidRPr="00707FED">
              <w:rPr>
                <w:rFonts w:ascii="Arial" w:eastAsia="Calibri" w:hAnsi="Arial" w:cs="Arial"/>
              </w:rPr>
              <w:t xml:space="preserve"> </w:t>
            </w:r>
            <w:r w:rsidR="00554225" w:rsidRPr="00707FED">
              <w:rPr>
                <w:rFonts w:ascii="Arial" w:eastAsia="Calibri" w:hAnsi="Arial" w:cs="Arial"/>
              </w:rPr>
              <w:t>45</w:t>
            </w:r>
            <w:r w:rsidR="0085023E" w:rsidRPr="00707FED">
              <w:rPr>
                <w:rFonts w:ascii="Arial" w:eastAsia="Calibri" w:hAnsi="Arial" w:cs="Arial"/>
              </w:rPr>
              <w:t> </w:t>
            </w:r>
            <w:r w:rsidR="00021174" w:rsidRPr="00707FED">
              <w:rPr>
                <w:rFonts w:ascii="Arial" w:eastAsia="Calibri" w:hAnsi="Arial" w:cs="Arial"/>
              </w:rPr>
              <w:t>per cent</w:t>
            </w:r>
            <w:r w:rsidRPr="00707FED">
              <w:rPr>
                <w:rFonts w:ascii="Arial" w:eastAsia="Calibri" w:hAnsi="Arial" w:cs="Arial"/>
              </w:rPr>
              <w:t xml:space="preserve"> by </w:t>
            </w:r>
            <w:r w:rsidR="00616D18" w:rsidRPr="00707FED">
              <w:rPr>
                <w:rFonts w:ascii="Arial" w:eastAsia="Calibri" w:hAnsi="Arial" w:cs="Arial"/>
              </w:rPr>
              <w:t>2028</w:t>
            </w:r>
          </w:p>
        </w:tc>
      </w:tr>
      <w:tr w:rsidR="00375FC1" w:rsidRPr="00444D48" w14:paraId="2D6F2147" w14:textId="77777777" w:rsidTr="00A4347A">
        <w:tc>
          <w:tcPr>
            <w:tcW w:w="2830" w:type="dxa"/>
            <w:vMerge/>
          </w:tcPr>
          <w:p w14:paraId="63A941A5" w14:textId="77777777" w:rsidR="00616D18" w:rsidRPr="00444D48" w:rsidRDefault="00616D18" w:rsidP="00DA30DC">
            <w:pPr>
              <w:spacing w:after="160" w:line="276" w:lineRule="auto"/>
              <w:rPr>
                <w:rFonts w:ascii="Arial" w:hAnsi="Arial" w:cs="Arial"/>
                <w:b/>
                <w:bCs/>
                <w:sz w:val="22"/>
                <w:szCs w:val="22"/>
              </w:rPr>
            </w:pPr>
          </w:p>
        </w:tc>
        <w:tc>
          <w:tcPr>
            <w:tcW w:w="2835" w:type="dxa"/>
            <w:vMerge/>
          </w:tcPr>
          <w:p w14:paraId="6F484921" w14:textId="77777777" w:rsidR="00616D18" w:rsidRPr="00444D48" w:rsidRDefault="00616D18" w:rsidP="00DA30DC">
            <w:pPr>
              <w:spacing w:after="160" w:line="276" w:lineRule="auto"/>
              <w:rPr>
                <w:rFonts w:ascii="Arial" w:hAnsi="Arial" w:cs="Arial"/>
                <w:b/>
                <w:bCs/>
                <w:sz w:val="22"/>
                <w:szCs w:val="22"/>
              </w:rPr>
            </w:pPr>
          </w:p>
        </w:tc>
        <w:tc>
          <w:tcPr>
            <w:tcW w:w="9498" w:type="dxa"/>
          </w:tcPr>
          <w:p w14:paraId="432A704C" w14:textId="77777777" w:rsidR="008E0089" w:rsidRPr="00444D48" w:rsidRDefault="008E0089" w:rsidP="00A4347A">
            <w:pPr>
              <w:spacing w:after="120" w:line="276" w:lineRule="auto"/>
              <w:rPr>
                <w:rFonts w:ascii="Arial" w:hAnsi="Arial" w:cs="Arial"/>
                <w:b/>
                <w:sz w:val="22"/>
                <w:szCs w:val="22"/>
              </w:rPr>
            </w:pPr>
            <w:r w:rsidRPr="00444D48">
              <w:rPr>
                <w:rFonts w:ascii="Arial" w:hAnsi="Arial" w:cs="Arial"/>
                <w:b/>
              </w:rPr>
              <w:t>State-led</w:t>
            </w:r>
            <w:r w:rsidR="0059753D" w:rsidRPr="00444D48">
              <w:rPr>
                <w:rFonts w:ascii="Arial" w:hAnsi="Arial" w:cs="Arial"/>
                <w:b/>
              </w:rPr>
              <w:t xml:space="preserve"> </w:t>
            </w:r>
          </w:p>
          <w:p w14:paraId="4E22F072" w14:textId="77777777" w:rsidR="00C853C6" w:rsidRPr="00444D48" w:rsidRDefault="00616D18" w:rsidP="00A4347A">
            <w:pPr>
              <w:spacing w:after="120" w:line="276" w:lineRule="auto"/>
              <w:rPr>
                <w:rFonts w:ascii="Arial" w:hAnsi="Arial" w:cs="Arial"/>
                <w:sz w:val="22"/>
                <w:szCs w:val="22"/>
              </w:rPr>
            </w:pPr>
            <w:r w:rsidRPr="00444D48">
              <w:rPr>
                <w:rFonts w:ascii="Arial" w:hAnsi="Arial" w:cs="Arial"/>
                <w:b/>
              </w:rPr>
              <w:t>Existing target:</w:t>
            </w:r>
            <w:r w:rsidRPr="00444D48">
              <w:rPr>
                <w:rFonts w:ascii="Arial" w:hAnsi="Arial" w:cs="Arial"/>
              </w:rPr>
              <w:t xml:space="preserve"> 95 per cent of all </w:t>
            </w:r>
            <w:r w:rsidR="00BC586C" w:rsidRPr="00444D48">
              <w:rPr>
                <w:rFonts w:ascii="Arial" w:hAnsi="Arial" w:cs="Arial"/>
              </w:rPr>
              <w:t xml:space="preserve">Aboriginal and Torres Strait Islander </w:t>
            </w:r>
            <w:r w:rsidRPr="00444D48">
              <w:rPr>
                <w:rFonts w:ascii="Arial" w:hAnsi="Arial" w:cs="Arial"/>
              </w:rPr>
              <w:t>four-year-olds enrolled in early childhood education by 2025</w:t>
            </w:r>
          </w:p>
        </w:tc>
      </w:tr>
      <w:tr w:rsidR="00375FC1" w:rsidRPr="00444D48" w14:paraId="52DA09A9" w14:textId="77777777" w:rsidTr="00A4347A">
        <w:tc>
          <w:tcPr>
            <w:tcW w:w="2830" w:type="dxa"/>
            <w:vMerge/>
          </w:tcPr>
          <w:p w14:paraId="1B5C6ECC" w14:textId="77777777" w:rsidR="00616D18" w:rsidRPr="00444D48" w:rsidRDefault="00616D18" w:rsidP="00DA30DC">
            <w:pPr>
              <w:spacing w:after="160" w:line="276" w:lineRule="auto"/>
              <w:rPr>
                <w:rFonts w:ascii="Arial" w:hAnsi="Arial" w:cs="Arial"/>
                <w:b/>
                <w:bCs/>
                <w:sz w:val="22"/>
                <w:szCs w:val="22"/>
              </w:rPr>
            </w:pPr>
          </w:p>
        </w:tc>
        <w:tc>
          <w:tcPr>
            <w:tcW w:w="2835" w:type="dxa"/>
          </w:tcPr>
          <w:p w14:paraId="44133EF5" w14:textId="77777777" w:rsidR="00616D18" w:rsidRPr="00444D48" w:rsidRDefault="00616D18" w:rsidP="00DA30DC">
            <w:pPr>
              <w:spacing w:after="160" w:line="276" w:lineRule="auto"/>
              <w:rPr>
                <w:rFonts w:ascii="Arial" w:hAnsi="Arial" w:cs="Arial"/>
                <w:b/>
                <w:bCs/>
                <w:sz w:val="22"/>
                <w:szCs w:val="22"/>
              </w:rPr>
            </w:pPr>
            <w:r w:rsidRPr="00444D48">
              <w:rPr>
                <w:rFonts w:ascii="Arial" w:hAnsi="Arial" w:cs="Arial"/>
              </w:rPr>
              <w:t xml:space="preserve">Aboriginal and Torres Strait Islander families </w:t>
            </w:r>
            <w:r w:rsidR="00763BB4" w:rsidRPr="00444D48">
              <w:rPr>
                <w:rFonts w:ascii="Arial" w:hAnsi="Arial" w:cs="Arial"/>
              </w:rPr>
              <w:t>and</w:t>
            </w:r>
            <w:r w:rsidRPr="00444D48">
              <w:rPr>
                <w:rFonts w:ascii="Arial" w:hAnsi="Arial" w:cs="Arial"/>
              </w:rPr>
              <w:t xml:space="preserve"> households are safe</w:t>
            </w:r>
          </w:p>
        </w:tc>
        <w:tc>
          <w:tcPr>
            <w:tcW w:w="9498" w:type="dxa"/>
          </w:tcPr>
          <w:p w14:paraId="31631558" w14:textId="77777777" w:rsidR="00375FC1" w:rsidRPr="00707FED" w:rsidRDefault="00375FC1" w:rsidP="00A4347A">
            <w:pPr>
              <w:spacing w:after="120" w:line="276" w:lineRule="auto"/>
              <w:rPr>
                <w:rFonts w:ascii="Arial" w:eastAsia="Calibri" w:hAnsi="Arial" w:cs="Arial"/>
                <w:sz w:val="22"/>
                <w:szCs w:val="22"/>
              </w:rPr>
            </w:pPr>
            <w:r w:rsidRPr="00444D48">
              <w:rPr>
                <w:rFonts w:ascii="Arial" w:hAnsi="Arial" w:cs="Arial"/>
                <w:b/>
                <w:bCs/>
              </w:rPr>
              <w:t>State-led</w:t>
            </w:r>
            <w:r w:rsidR="0059753D" w:rsidRPr="00444D48">
              <w:rPr>
                <w:rFonts w:ascii="Arial" w:hAnsi="Arial" w:cs="Arial"/>
                <w:b/>
                <w:bCs/>
              </w:rPr>
              <w:t xml:space="preserve"> </w:t>
            </w:r>
          </w:p>
          <w:p w14:paraId="4136B0BA" w14:textId="77777777" w:rsidR="00E12F4F" w:rsidRPr="00707FED" w:rsidRDefault="00E12F4F" w:rsidP="00A4347A">
            <w:pPr>
              <w:spacing w:after="120" w:line="276" w:lineRule="auto"/>
              <w:rPr>
                <w:rFonts w:ascii="Arial" w:eastAsia="Calibri" w:hAnsi="Arial" w:cs="Arial"/>
                <w:sz w:val="22"/>
                <w:szCs w:val="22"/>
                <w:u w:val="single"/>
              </w:rPr>
            </w:pPr>
            <w:r w:rsidRPr="00707FED">
              <w:rPr>
                <w:rFonts w:ascii="Arial" w:eastAsia="Calibri" w:hAnsi="Arial" w:cs="Arial"/>
              </w:rPr>
              <w:t>Significant and sustained progress to eliminate the over-representation of Aboriginal children in out-of-home care.</w:t>
            </w:r>
            <w:r w:rsidRPr="00707FED">
              <w:rPr>
                <w:rFonts w:ascii="Arial" w:eastAsia="Calibri" w:hAnsi="Arial" w:cs="Arial"/>
                <w:u w:val="single"/>
              </w:rPr>
              <w:t xml:space="preserve"> </w:t>
            </w:r>
          </w:p>
          <w:p w14:paraId="6A26AEA7" w14:textId="77777777" w:rsidR="00E12F4F" w:rsidRPr="00707FED" w:rsidRDefault="00E12F4F" w:rsidP="00A4347A">
            <w:pPr>
              <w:spacing w:after="120" w:line="276" w:lineRule="auto"/>
              <w:rPr>
                <w:rFonts w:ascii="Arial" w:eastAsia="Calibri" w:hAnsi="Arial" w:cs="Arial"/>
                <w:sz w:val="22"/>
                <w:szCs w:val="22"/>
              </w:rPr>
            </w:pPr>
            <w:r w:rsidRPr="00707FED">
              <w:rPr>
                <w:rFonts w:ascii="Arial" w:eastAsia="Calibri" w:hAnsi="Arial" w:cs="Arial"/>
                <w:u w:val="single"/>
              </w:rPr>
              <w:t>AND/OR</w:t>
            </w:r>
            <w:r w:rsidRPr="00707FED">
              <w:rPr>
                <w:rFonts w:ascii="Arial" w:eastAsia="Calibri" w:hAnsi="Arial" w:cs="Arial"/>
              </w:rPr>
              <w:t xml:space="preserve"> </w:t>
            </w:r>
          </w:p>
          <w:p w14:paraId="690729C3" w14:textId="77777777" w:rsidR="00616D18" w:rsidRPr="00444D48" w:rsidRDefault="00E12F4F" w:rsidP="00A4347A">
            <w:pPr>
              <w:spacing w:after="120" w:line="276" w:lineRule="auto"/>
              <w:rPr>
                <w:rFonts w:ascii="Arial" w:hAnsi="Arial" w:cs="Arial"/>
                <w:b/>
                <w:bCs/>
                <w:sz w:val="22"/>
                <w:szCs w:val="22"/>
                <w:highlight w:val="green"/>
              </w:rPr>
            </w:pPr>
            <w:r w:rsidRPr="00707FED">
              <w:rPr>
                <w:rFonts w:ascii="Arial" w:eastAsia="Calibri" w:hAnsi="Arial" w:cs="Arial"/>
              </w:rPr>
              <w:t xml:space="preserve">A significant and sustained reduction in violence against Aboriginal and Torres Strait </w:t>
            </w:r>
            <w:r w:rsidRPr="00444D48">
              <w:rPr>
                <w:rFonts w:ascii="Arial" w:hAnsi="Arial" w:cs="Arial"/>
                <w:sz w:val="22"/>
                <w:szCs w:val="22"/>
              </w:rPr>
              <w:t>Islander</w:t>
            </w:r>
            <w:r w:rsidRPr="00707FED">
              <w:rPr>
                <w:rFonts w:ascii="Arial" w:eastAsia="Calibri" w:hAnsi="Arial" w:cs="Arial"/>
              </w:rPr>
              <w:t xml:space="preserve"> women and children</w:t>
            </w:r>
          </w:p>
        </w:tc>
      </w:tr>
      <w:tr w:rsidR="00375FC1" w:rsidRPr="00444D48" w14:paraId="1533BD4F" w14:textId="77777777" w:rsidTr="00A4347A">
        <w:tc>
          <w:tcPr>
            <w:tcW w:w="2830" w:type="dxa"/>
            <w:vMerge w:val="restart"/>
          </w:tcPr>
          <w:p w14:paraId="11B180D9" w14:textId="77777777" w:rsidR="00616D18" w:rsidRPr="00444D48" w:rsidRDefault="00616D18" w:rsidP="00DA30DC">
            <w:pPr>
              <w:spacing w:after="160" w:line="276" w:lineRule="auto"/>
              <w:jc w:val="center"/>
              <w:rPr>
                <w:rFonts w:ascii="Arial" w:hAnsi="Arial" w:cs="Arial"/>
                <w:sz w:val="22"/>
                <w:szCs w:val="22"/>
              </w:rPr>
            </w:pPr>
            <w:r w:rsidRPr="00444D48">
              <w:rPr>
                <w:rFonts w:ascii="Arial" w:hAnsi="Arial" w:cs="Arial"/>
                <w:i/>
              </w:rPr>
              <w:t>Health</w:t>
            </w:r>
          </w:p>
          <w:p w14:paraId="61A8C040" w14:textId="77777777" w:rsidR="00616D18" w:rsidRPr="00444D48" w:rsidRDefault="00616D18" w:rsidP="00DA30DC">
            <w:pPr>
              <w:spacing w:after="160" w:line="276" w:lineRule="auto"/>
              <w:rPr>
                <w:rFonts w:ascii="Arial" w:hAnsi="Arial" w:cs="Arial"/>
                <w:sz w:val="22"/>
                <w:szCs w:val="22"/>
              </w:rPr>
            </w:pPr>
            <w:r w:rsidRPr="00444D48">
              <w:rPr>
                <w:rFonts w:ascii="Arial" w:hAnsi="Arial" w:cs="Arial"/>
              </w:rPr>
              <w:t>Aboriginal and Torres Strait Islander people are healthy, well and safe</w:t>
            </w:r>
          </w:p>
        </w:tc>
        <w:tc>
          <w:tcPr>
            <w:tcW w:w="2835" w:type="dxa"/>
          </w:tcPr>
          <w:p w14:paraId="21E432AA" w14:textId="77777777" w:rsidR="00616D18" w:rsidRPr="00444D48" w:rsidRDefault="00616D18" w:rsidP="00DA30DC">
            <w:pPr>
              <w:spacing w:after="160" w:line="276" w:lineRule="auto"/>
              <w:rPr>
                <w:rFonts w:ascii="Arial" w:hAnsi="Arial" w:cs="Arial"/>
                <w:b/>
                <w:bCs/>
                <w:sz w:val="22"/>
                <w:szCs w:val="22"/>
              </w:rPr>
            </w:pPr>
            <w:r w:rsidRPr="00444D48">
              <w:rPr>
                <w:rFonts w:ascii="Arial" w:hAnsi="Arial" w:cs="Arial"/>
              </w:rPr>
              <w:t>Aboriginal and Torres Strait Islander people enjoy long and healthy lives</w:t>
            </w:r>
          </w:p>
        </w:tc>
        <w:tc>
          <w:tcPr>
            <w:tcW w:w="9498" w:type="dxa"/>
          </w:tcPr>
          <w:p w14:paraId="4A786E50" w14:textId="77777777" w:rsidR="008E0089" w:rsidRPr="00444D48" w:rsidRDefault="008E0089" w:rsidP="00A4347A">
            <w:pPr>
              <w:spacing w:after="120" w:line="276" w:lineRule="auto"/>
              <w:rPr>
                <w:rFonts w:ascii="Arial" w:hAnsi="Arial" w:cs="Arial"/>
                <w:b/>
                <w:sz w:val="22"/>
                <w:szCs w:val="22"/>
              </w:rPr>
            </w:pPr>
            <w:r w:rsidRPr="00444D48">
              <w:rPr>
                <w:rFonts w:ascii="Arial" w:hAnsi="Arial" w:cs="Arial"/>
                <w:b/>
              </w:rPr>
              <w:t>Commonwealth-led</w:t>
            </w:r>
            <w:r w:rsidR="0059753D" w:rsidRPr="00444D48">
              <w:rPr>
                <w:rFonts w:ascii="Arial" w:hAnsi="Arial" w:cs="Arial"/>
                <w:b/>
              </w:rPr>
              <w:t xml:space="preserve"> </w:t>
            </w:r>
          </w:p>
          <w:p w14:paraId="092CC2A4" w14:textId="77777777" w:rsidR="00616D18" w:rsidRPr="00444D48" w:rsidRDefault="00616D18" w:rsidP="00A4347A">
            <w:pPr>
              <w:spacing w:after="120" w:line="276" w:lineRule="auto"/>
              <w:rPr>
                <w:rFonts w:ascii="Arial" w:hAnsi="Arial" w:cs="Arial"/>
                <w:b/>
                <w:bCs/>
                <w:sz w:val="22"/>
                <w:szCs w:val="22"/>
                <w:highlight w:val="green"/>
              </w:rPr>
            </w:pPr>
            <w:r w:rsidRPr="00444D48">
              <w:rPr>
                <w:rFonts w:ascii="Arial" w:hAnsi="Arial" w:cs="Arial"/>
                <w:b/>
              </w:rPr>
              <w:t>Existing target:</w:t>
            </w:r>
            <w:r w:rsidRPr="00444D48">
              <w:rPr>
                <w:rFonts w:ascii="Arial" w:hAnsi="Arial" w:cs="Arial"/>
              </w:rPr>
              <w:t xml:space="preserve">  Close the gap in life expectancy between</w:t>
            </w:r>
            <w:r w:rsidR="00BC586C" w:rsidRPr="00444D48">
              <w:rPr>
                <w:rFonts w:ascii="Arial" w:hAnsi="Arial" w:cs="Arial"/>
              </w:rPr>
              <w:t xml:space="preserve"> Aboriginal and Torres Strait Islander </w:t>
            </w:r>
            <w:r w:rsidRPr="00444D48">
              <w:rPr>
                <w:rFonts w:ascii="Arial" w:hAnsi="Arial" w:cs="Arial"/>
              </w:rPr>
              <w:t>and non-Indigenous Australians within a generation, by 2031</w:t>
            </w:r>
          </w:p>
        </w:tc>
      </w:tr>
      <w:tr w:rsidR="00375FC1" w:rsidRPr="00444D48" w14:paraId="0FE02F68" w14:textId="77777777" w:rsidTr="00A4347A">
        <w:tc>
          <w:tcPr>
            <w:tcW w:w="2830" w:type="dxa"/>
            <w:vMerge/>
          </w:tcPr>
          <w:p w14:paraId="7CF24E38" w14:textId="77777777" w:rsidR="00616D18" w:rsidRPr="00444D48" w:rsidRDefault="00616D18" w:rsidP="00DA30DC">
            <w:pPr>
              <w:spacing w:after="160" w:line="276" w:lineRule="auto"/>
              <w:rPr>
                <w:rFonts w:ascii="Arial" w:hAnsi="Arial" w:cs="Arial"/>
                <w:b/>
                <w:bCs/>
                <w:sz w:val="22"/>
                <w:szCs w:val="22"/>
              </w:rPr>
            </w:pPr>
          </w:p>
        </w:tc>
        <w:tc>
          <w:tcPr>
            <w:tcW w:w="2835" w:type="dxa"/>
          </w:tcPr>
          <w:p w14:paraId="76AFC854" w14:textId="77777777" w:rsidR="00616D18" w:rsidRPr="00444D48" w:rsidRDefault="00616D18" w:rsidP="00DA30DC">
            <w:pPr>
              <w:spacing w:after="160" w:line="276" w:lineRule="auto"/>
              <w:rPr>
                <w:rFonts w:ascii="Arial" w:hAnsi="Arial" w:cs="Arial"/>
                <w:b/>
                <w:bCs/>
                <w:sz w:val="22"/>
                <w:szCs w:val="22"/>
              </w:rPr>
            </w:pPr>
            <w:r w:rsidRPr="00444D48">
              <w:rPr>
                <w:rFonts w:ascii="Arial" w:hAnsi="Arial" w:cs="Arial"/>
              </w:rPr>
              <w:t>Aboriginal and Torres Strait Islander children are born healthy and strong</w:t>
            </w:r>
          </w:p>
        </w:tc>
        <w:tc>
          <w:tcPr>
            <w:tcW w:w="9498" w:type="dxa"/>
          </w:tcPr>
          <w:p w14:paraId="50A546CF" w14:textId="77777777" w:rsidR="00375FC1" w:rsidRPr="00444D48" w:rsidRDefault="00375FC1" w:rsidP="00A4347A">
            <w:pPr>
              <w:spacing w:after="120" w:line="276" w:lineRule="auto"/>
              <w:rPr>
                <w:rFonts w:ascii="Arial" w:hAnsi="Arial" w:cs="Arial"/>
                <w:sz w:val="22"/>
                <w:szCs w:val="22"/>
              </w:rPr>
            </w:pPr>
            <w:r w:rsidRPr="00444D48">
              <w:rPr>
                <w:rFonts w:ascii="Arial" w:hAnsi="Arial" w:cs="Arial"/>
                <w:b/>
                <w:bCs/>
              </w:rPr>
              <w:t>Commonwealth-led</w:t>
            </w:r>
            <w:r w:rsidR="0059753D" w:rsidRPr="00444D48">
              <w:rPr>
                <w:rFonts w:ascii="Arial" w:hAnsi="Arial" w:cs="Arial"/>
                <w:b/>
                <w:bCs/>
              </w:rPr>
              <w:t xml:space="preserve"> </w:t>
            </w:r>
          </w:p>
          <w:p w14:paraId="6F9A5C9F" w14:textId="77777777" w:rsidR="00616D18" w:rsidRPr="00444D48" w:rsidRDefault="00E12F4F">
            <w:pPr>
              <w:spacing w:after="120" w:line="276" w:lineRule="auto"/>
              <w:rPr>
                <w:rFonts w:ascii="Arial" w:hAnsi="Arial" w:cs="Arial"/>
                <w:b/>
                <w:bCs/>
                <w:sz w:val="22"/>
                <w:szCs w:val="22"/>
                <w:highlight w:val="green"/>
              </w:rPr>
            </w:pPr>
            <w:r w:rsidRPr="00444D48">
              <w:rPr>
                <w:rFonts w:ascii="Arial" w:hAnsi="Arial" w:cs="Arial"/>
              </w:rPr>
              <w:t xml:space="preserve">By 2028, </w:t>
            </w:r>
            <w:r w:rsidR="004804E4" w:rsidRPr="00444D48">
              <w:rPr>
                <w:rFonts w:ascii="Arial" w:hAnsi="Arial" w:cs="Arial"/>
              </w:rPr>
              <w:t>90-</w:t>
            </w:r>
            <w:r w:rsidRPr="00444D48">
              <w:rPr>
                <w:rFonts w:ascii="Arial" w:hAnsi="Arial" w:cs="Arial"/>
              </w:rPr>
              <w:t>9</w:t>
            </w:r>
            <w:r w:rsidR="00554225" w:rsidRPr="00444D48">
              <w:rPr>
                <w:rFonts w:ascii="Arial" w:hAnsi="Arial" w:cs="Arial"/>
              </w:rPr>
              <w:t>2</w:t>
            </w:r>
            <w:r w:rsidRPr="00444D48">
              <w:rPr>
                <w:rFonts w:ascii="Arial" w:hAnsi="Arial" w:cs="Arial"/>
              </w:rPr>
              <w:t xml:space="preserve"> per cent of babies born to Aboriginal and Torres Strait Islander mothers have a healthy birthweight</w:t>
            </w:r>
          </w:p>
        </w:tc>
      </w:tr>
      <w:tr w:rsidR="00375FC1" w:rsidRPr="00444D48" w14:paraId="3EF95F25" w14:textId="77777777" w:rsidTr="00707FED">
        <w:trPr>
          <w:cantSplit/>
        </w:trPr>
        <w:tc>
          <w:tcPr>
            <w:tcW w:w="2830" w:type="dxa"/>
            <w:vMerge w:val="restart"/>
          </w:tcPr>
          <w:p w14:paraId="26877523" w14:textId="77777777" w:rsidR="00616D18" w:rsidRPr="00444D48" w:rsidRDefault="00616D18" w:rsidP="00DA30DC">
            <w:pPr>
              <w:spacing w:after="160" w:line="276" w:lineRule="auto"/>
              <w:jc w:val="center"/>
              <w:rPr>
                <w:rFonts w:ascii="Arial" w:hAnsi="Arial" w:cs="Arial"/>
                <w:sz w:val="22"/>
                <w:szCs w:val="22"/>
              </w:rPr>
            </w:pPr>
            <w:r w:rsidRPr="00444D48">
              <w:rPr>
                <w:rFonts w:ascii="Arial" w:hAnsi="Arial" w:cs="Arial"/>
                <w:i/>
              </w:rPr>
              <w:lastRenderedPageBreak/>
              <w:t>Education</w:t>
            </w:r>
          </w:p>
          <w:p w14:paraId="35A576B7" w14:textId="77777777" w:rsidR="00616D18" w:rsidRPr="00444D48" w:rsidRDefault="00616D18" w:rsidP="00DA30DC">
            <w:pPr>
              <w:spacing w:after="160" w:line="276" w:lineRule="auto"/>
              <w:rPr>
                <w:rFonts w:ascii="Arial" w:hAnsi="Arial" w:cs="Arial"/>
                <w:sz w:val="22"/>
                <w:szCs w:val="22"/>
              </w:rPr>
            </w:pPr>
            <w:r w:rsidRPr="00444D48">
              <w:rPr>
                <w:rFonts w:ascii="Arial" w:hAnsi="Arial" w:cs="Arial"/>
              </w:rPr>
              <w:t>Aboriginal and Torres Strait Islander people achieve their learning potential and flourish</w:t>
            </w:r>
          </w:p>
        </w:tc>
        <w:tc>
          <w:tcPr>
            <w:tcW w:w="2835" w:type="dxa"/>
          </w:tcPr>
          <w:p w14:paraId="27C80A65" w14:textId="77777777" w:rsidR="00616D18" w:rsidRPr="00444D48" w:rsidRDefault="00616D18" w:rsidP="00DA30DC">
            <w:pPr>
              <w:spacing w:after="160" w:line="276" w:lineRule="auto"/>
              <w:rPr>
                <w:rFonts w:ascii="Arial" w:hAnsi="Arial" w:cs="Arial"/>
                <w:b/>
                <w:bCs/>
                <w:sz w:val="22"/>
                <w:szCs w:val="22"/>
              </w:rPr>
            </w:pPr>
            <w:r w:rsidRPr="00444D48">
              <w:rPr>
                <w:rFonts w:ascii="Arial" w:hAnsi="Arial" w:cs="Arial"/>
              </w:rPr>
              <w:t>Aboriginal and Torres Strait Islander students succeed at school</w:t>
            </w:r>
          </w:p>
        </w:tc>
        <w:tc>
          <w:tcPr>
            <w:tcW w:w="9498" w:type="dxa"/>
          </w:tcPr>
          <w:p w14:paraId="40439C35" w14:textId="77777777" w:rsidR="00375FC1" w:rsidRPr="00707FED" w:rsidRDefault="00375FC1" w:rsidP="00A4347A">
            <w:pPr>
              <w:spacing w:after="120" w:line="276" w:lineRule="auto"/>
              <w:rPr>
                <w:rFonts w:ascii="Arial" w:eastAsia="Calibri" w:hAnsi="Arial" w:cs="Arial"/>
                <w:sz w:val="22"/>
                <w:szCs w:val="22"/>
              </w:rPr>
            </w:pPr>
            <w:r w:rsidRPr="00444D48">
              <w:rPr>
                <w:rFonts w:ascii="Arial" w:hAnsi="Arial" w:cs="Arial"/>
                <w:b/>
                <w:bCs/>
              </w:rPr>
              <w:t>State-led</w:t>
            </w:r>
            <w:r w:rsidR="00D80258" w:rsidRPr="00444D48">
              <w:rPr>
                <w:rStyle w:val="FootnoteReference"/>
                <w:rFonts w:ascii="Arial" w:hAnsi="Arial" w:cs="Arial"/>
                <w:b/>
                <w:bCs/>
                <w:sz w:val="22"/>
                <w:szCs w:val="22"/>
              </w:rPr>
              <w:footnoteReference w:id="2"/>
            </w:r>
          </w:p>
          <w:p w14:paraId="0F33DE20" w14:textId="77777777" w:rsidR="00A06B11" w:rsidRPr="00444D48" w:rsidRDefault="00E12F4F" w:rsidP="00A4347A">
            <w:pPr>
              <w:spacing w:after="120" w:line="276" w:lineRule="auto"/>
              <w:rPr>
                <w:rFonts w:ascii="Arial" w:hAnsi="Arial" w:cs="Arial"/>
                <w:sz w:val="22"/>
                <w:szCs w:val="22"/>
                <w:u w:val="single"/>
              </w:rPr>
            </w:pPr>
            <w:r w:rsidRPr="00444D48">
              <w:rPr>
                <w:rFonts w:ascii="Arial" w:hAnsi="Arial" w:cs="Arial"/>
                <w:sz w:val="22"/>
                <w:szCs w:val="22"/>
              </w:rPr>
              <w:t xml:space="preserve">Increase the proportion of Aboriginal and Torres Strait Islander students in the top two bands of NAPLAN reading and numeracy </w:t>
            </w:r>
            <w:r w:rsidRPr="00444D48">
              <w:rPr>
                <w:rFonts w:ascii="Arial" w:hAnsi="Arial" w:cs="Arial"/>
              </w:rPr>
              <w:t>for years 3,</w:t>
            </w:r>
            <w:r w:rsidR="00763BB4" w:rsidRPr="00444D48">
              <w:rPr>
                <w:rFonts w:ascii="Arial" w:hAnsi="Arial" w:cs="Arial"/>
              </w:rPr>
              <w:t xml:space="preserve"> </w:t>
            </w:r>
            <w:r w:rsidRPr="00444D48">
              <w:rPr>
                <w:rFonts w:ascii="Arial" w:hAnsi="Arial" w:cs="Arial"/>
              </w:rPr>
              <w:t>5,</w:t>
            </w:r>
            <w:r w:rsidR="00763BB4" w:rsidRPr="00444D48">
              <w:rPr>
                <w:rFonts w:ascii="Arial" w:hAnsi="Arial" w:cs="Arial"/>
              </w:rPr>
              <w:t xml:space="preserve"> </w:t>
            </w:r>
            <w:r w:rsidRPr="00444D48">
              <w:rPr>
                <w:rFonts w:ascii="Arial" w:hAnsi="Arial" w:cs="Arial"/>
              </w:rPr>
              <w:t xml:space="preserve">7 and 9 by </w:t>
            </w:r>
            <w:r w:rsidR="00132B7A" w:rsidRPr="00444D48">
              <w:rPr>
                <w:rFonts w:ascii="Arial" w:hAnsi="Arial" w:cs="Arial"/>
              </w:rPr>
              <w:t xml:space="preserve">an average of 6 percentage points </w:t>
            </w:r>
            <w:r w:rsidRPr="00444D48">
              <w:rPr>
                <w:rFonts w:ascii="Arial" w:hAnsi="Arial" w:cs="Arial"/>
              </w:rPr>
              <w:t>by 2028</w:t>
            </w:r>
            <w:r w:rsidR="00495E75" w:rsidRPr="00444D48">
              <w:rPr>
                <w:rFonts w:ascii="Arial" w:hAnsi="Arial" w:cs="Arial"/>
              </w:rPr>
              <w:t xml:space="preserve"> </w:t>
            </w:r>
          </w:p>
          <w:p w14:paraId="53DD1F08" w14:textId="77777777" w:rsidR="00E12F4F" w:rsidRPr="00444D48" w:rsidRDefault="00E12F4F" w:rsidP="00A4347A">
            <w:pPr>
              <w:spacing w:after="120" w:line="276" w:lineRule="auto"/>
              <w:rPr>
                <w:rFonts w:ascii="Arial" w:hAnsi="Arial" w:cs="Arial"/>
                <w:sz w:val="22"/>
                <w:szCs w:val="22"/>
                <w:u w:val="single"/>
              </w:rPr>
            </w:pPr>
            <w:r w:rsidRPr="00444D48">
              <w:rPr>
                <w:rFonts w:ascii="Arial" w:hAnsi="Arial" w:cs="Arial"/>
                <w:u w:val="single"/>
              </w:rPr>
              <w:t>AND</w:t>
            </w:r>
          </w:p>
          <w:p w14:paraId="64FC5297" w14:textId="77777777" w:rsidR="00132B7A" w:rsidRPr="00444D48" w:rsidRDefault="00E12F4F" w:rsidP="00A4347A">
            <w:pPr>
              <w:spacing w:after="120" w:line="276" w:lineRule="auto"/>
              <w:rPr>
                <w:rFonts w:ascii="Arial" w:hAnsi="Arial" w:cs="Arial"/>
                <w:sz w:val="22"/>
                <w:szCs w:val="22"/>
              </w:rPr>
            </w:pPr>
            <w:r w:rsidRPr="00444D48">
              <w:rPr>
                <w:rFonts w:ascii="Arial" w:hAnsi="Arial" w:cs="Arial"/>
              </w:rPr>
              <w:t>Decrease the proportion of Aboriginal and Torres Strait Islander students in the bottom two bands of NAPLAN reading and numeracy for years 3,</w:t>
            </w:r>
            <w:r w:rsidR="0085023E" w:rsidRPr="00444D48">
              <w:rPr>
                <w:rFonts w:ascii="Arial" w:hAnsi="Arial" w:cs="Arial"/>
              </w:rPr>
              <w:t xml:space="preserve"> </w:t>
            </w:r>
            <w:r w:rsidRPr="00444D48">
              <w:rPr>
                <w:rFonts w:ascii="Arial" w:hAnsi="Arial" w:cs="Arial"/>
              </w:rPr>
              <w:t>5,</w:t>
            </w:r>
            <w:r w:rsidR="0085023E" w:rsidRPr="00444D48">
              <w:rPr>
                <w:rFonts w:ascii="Arial" w:hAnsi="Arial" w:cs="Arial"/>
              </w:rPr>
              <w:t xml:space="preserve"> </w:t>
            </w:r>
            <w:r w:rsidRPr="00444D48">
              <w:rPr>
                <w:rFonts w:ascii="Arial" w:hAnsi="Arial" w:cs="Arial"/>
              </w:rPr>
              <w:t xml:space="preserve">7 and 9 by </w:t>
            </w:r>
            <w:r w:rsidR="00132B7A" w:rsidRPr="00444D48">
              <w:rPr>
                <w:rFonts w:ascii="Arial" w:hAnsi="Arial" w:cs="Arial"/>
              </w:rPr>
              <w:t xml:space="preserve">an average of </w:t>
            </w:r>
            <w:r w:rsidR="0085023E" w:rsidRPr="00444D48">
              <w:rPr>
                <w:rFonts w:ascii="Arial" w:hAnsi="Arial" w:cs="Arial"/>
              </w:rPr>
              <w:t>6 </w:t>
            </w:r>
            <w:r w:rsidR="00132B7A" w:rsidRPr="00444D48">
              <w:rPr>
                <w:rFonts w:ascii="Arial" w:hAnsi="Arial" w:cs="Arial"/>
              </w:rPr>
              <w:t>percentage points</w:t>
            </w:r>
            <w:r w:rsidRPr="00444D48">
              <w:rPr>
                <w:rFonts w:ascii="Arial" w:hAnsi="Arial" w:cs="Arial"/>
              </w:rPr>
              <w:t xml:space="preserve"> by 2028</w:t>
            </w:r>
          </w:p>
        </w:tc>
      </w:tr>
      <w:tr w:rsidR="00375FC1" w:rsidRPr="00444D48" w14:paraId="4D1E5B8C" w14:textId="77777777" w:rsidTr="00A4347A">
        <w:tc>
          <w:tcPr>
            <w:tcW w:w="2830" w:type="dxa"/>
            <w:vMerge/>
          </w:tcPr>
          <w:p w14:paraId="7FC3E4AE" w14:textId="77777777" w:rsidR="00616D18" w:rsidRPr="00444D48" w:rsidRDefault="00616D18" w:rsidP="00DA30DC">
            <w:pPr>
              <w:spacing w:after="160" w:line="276" w:lineRule="auto"/>
              <w:rPr>
                <w:rFonts w:ascii="Arial" w:hAnsi="Arial" w:cs="Arial"/>
                <w:b/>
                <w:bCs/>
                <w:sz w:val="22"/>
                <w:szCs w:val="22"/>
              </w:rPr>
            </w:pPr>
          </w:p>
        </w:tc>
        <w:tc>
          <w:tcPr>
            <w:tcW w:w="2835" w:type="dxa"/>
          </w:tcPr>
          <w:p w14:paraId="1928EA0A" w14:textId="77777777" w:rsidR="00616D18" w:rsidRPr="00444D48" w:rsidRDefault="00616D18" w:rsidP="00DA30DC">
            <w:pPr>
              <w:spacing w:after="160" w:line="276" w:lineRule="auto"/>
              <w:rPr>
                <w:rFonts w:ascii="Arial" w:hAnsi="Arial" w:cs="Arial"/>
                <w:b/>
                <w:bCs/>
                <w:sz w:val="22"/>
                <w:szCs w:val="22"/>
              </w:rPr>
            </w:pPr>
            <w:r w:rsidRPr="00444D48">
              <w:rPr>
                <w:rFonts w:ascii="Arial" w:hAnsi="Arial" w:cs="Arial"/>
              </w:rPr>
              <w:t>Aboriginal and Torres Strait Islander students stay in school</w:t>
            </w:r>
          </w:p>
        </w:tc>
        <w:tc>
          <w:tcPr>
            <w:tcW w:w="9498" w:type="dxa"/>
          </w:tcPr>
          <w:p w14:paraId="51A73ACD" w14:textId="77777777" w:rsidR="008E0089" w:rsidRPr="00707FED" w:rsidRDefault="008E0089" w:rsidP="00A4347A">
            <w:pPr>
              <w:spacing w:after="120" w:line="276" w:lineRule="auto"/>
              <w:rPr>
                <w:rFonts w:ascii="Arial" w:eastAsia="Calibri" w:hAnsi="Arial" w:cs="Arial"/>
                <w:b/>
                <w:sz w:val="22"/>
                <w:szCs w:val="22"/>
              </w:rPr>
            </w:pPr>
            <w:r w:rsidRPr="00707FED">
              <w:rPr>
                <w:rFonts w:ascii="Arial" w:eastAsia="Calibri" w:hAnsi="Arial" w:cs="Arial"/>
                <w:b/>
              </w:rPr>
              <w:t>State-led</w:t>
            </w:r>
            <w:r w:rsidR="0059753D" w:rsidRPr="00707FED">
              <w:rPr>
                <w:rFonts w:ascii="Arial" w:eastAsia="Calibri" w:hAnsi="Arial" w:cs="Arial"/>
                <w:b/>
              </w:rPr>
              <w:t xml:space="preserve"> </w:t>
            </w:r>
          </w:p>
          <w:p w14:paraId="1787BB05" w14:textId="77777777" w:rsidR="00616D18" w:rsidRPr="00444D48" w:rsidRDefault="00616D18" w:rsidP="00A4347A">
            <w:pPr>
              <w:spacing w:after="120" w:line="276" w:lineRule="auto"/>
              <w:rPr>
                <w:rFonts w:ascii="Arial" w:hAnsi="Arial" w:cs="Arial"/>
                <w:b/>
                <w:bCs/>
                <w:sz w:val="22"/>
                <w:szCs w:val="22"/>
                <w:highlight w:val="green"/>
              </w:rPr>
            </w:pPr>
            <w:r w:rsidRPr="00707FED">
              <w:rPr>
                <w:rFonts w:ascii="Arial" w:eastAsia="Calibri" w:hAnsi="Arial" w:cs="Arial"/>
                <w:b/>
              </w:rPr>
              <w:t>Existing target:</w:t>
            </w:r>
            <w:r w:rsidRPr="00707FED">
              <w:rPr>
                <w:rFonts w:ascii="Arial" w:eastAsia="Calibri" w:hAnsi="Arial" w:cs="Arial"/>
              </w:rPr>
              <w:t xml:space="preserve"> Halve the gap in attainment of Year 12 or equivalent qualifications between Aboriginal and Torres Strait Islander and non</w:t>
            </w:r>
            <w:r w:rsidRPr="00707FED">
              <w:rPr>
                <w:rFonts w:ascii="Arial" w:eastAsia="Calibri" w:hAnsi="Arial" w:cs="Arial"/>
              </w:rPr>
              <w:noBreakHyphen/>
              <w:t>Indigenous 20-24 year-olds by 2020</w:t>
            </w:r>
          </w:p>
        </w:tc>
      </w:tr>
      <w:tr w:rsidR="00375FC1" w:rsidRPr="00444D48" w14:paraId="7355E39D" w14:textId="77777777" w:rsidTr="00A4347A">
        <w:tc>
          <w:tcPr>
            <w:tcW w:w="2830" w:type="dxa"/>
            <w:vMerge/>
          </w:tcPr>
          <w:p w14:paraId="20AAF48F" w14:textId="77777777" w:rsidR="00616D18" w:rsidRPr="00444D48" w:rsidRDefault="00616D18" w:rsidP="00DA30DC">
            <w:pPr>
              <w:spacing w:after="160" w:line="276" w:lineRule="auto"/>
              <w:rPr>
                <w:rFonts w:ascii="Arial" w:hAnsi="Arial" w:cs="Arial"/>
                <w:b/>
                <w:bCs/>
                <w:sz w:val="22"/>
                <w:szCs w:val="22"/>
              </w:rPr>
            </w:pPr>
          </w:p>
        </w:tc>
        <w:tc>
          <w:tcPr>
            <w:tcW w:w="2835" w:type="dxa"/>
          </w:tcPr>
          <w:p w14:paraId="5974DE9A" w14:textId="77777777" w:rsidR="00616D18" w:rsidRPr="00444D48" w:rsidRDefault="00616D18" w:rsidP="00DA30DC">
            <w:pPr>
              <w:spacing w:line="276" w:lineRule="auto"/>
              <w:rPr>
                <w:rFonts w:ascii="Arial" w:hAnsi="Arial" w:cs="Arial"/>
                <w:b/>
                <w:bCs/>
                <w:sz w:val="22"/>
                <w:szCs w:val="22"/>
              </w:rPr>
            </w:pPr>
            <w:r w:rsidRPr="00444D48">
              <w:rPr>
                <w:rFonts w:ascii="Arial" w:hAnsi="Arial" w:cs="Arial"/>
              </w:rPr>
              <w:t xml:space="preserve">Aboriginal and Torres Strait Islander students reach their full potential through further education </w:t>
            </w:r>
            <w:r w:rsidRPr="00707FED">
              <w:rPr>
                <w:rFonts w:ascii="Arial" w:eastAsia="Calibri" w:hAnsi="Arial" w:cs="Arial"/>
              </w:rPr>
              <w:t>pathways</w:t>
            </w:r>
          </w:p>
        </w:tc>
        <w:tc>
          <w:tcPr>
            <w:tcW w:w="9498" w:type="dxa"/>
          </w:tcPr>
          <w:p w14:paraId="738C8CD0" w14:textId="77777777" w:rsidR="00375FC1" w:rsidRPr="00707FED" w:rsidRDefault="00375FC1" w:rsidP="00A4347A">
            <w:pPr>
              <w:spacing w:after="120" w:line="276" w:lineRule="auto"/>
              <w:rPr>
                <w:rFonts w:ascii="Arial" w:eastAsia="Calibri" w:hAnsi="Arial" w:cs="Arial"/>
                <w:sz w:val="22"/>
                <w:szCs w:val="22"/>
              </w:rPr>
            </w:pPr>
            <w:r w:rsidRPr="00444D48">
              <w:rPr>
                <w:rFonts w:ascii="Arial" w:hAnsi="Arial" w:cs="Arial"/>
                <w:b/>
                <w:bCs/>
              </w:rPr>
              <w:t>Commonwealth-led</w:t>
            </w:r>
            <w:r w:rsidR="0059753D" w:rsidRPr="00444D48">
              <w:rPr>
                <w:rFonts w:ascii="Arial" w:hAnsi="Arial" w:cs="Arial"/>
                <w:b/>
                <w:bCs/>
              </w:rPr>
              <w:t xml:space="preserve"> </w:t>
            </w:r>
          </w:p>
          <w:p w14:paraId="720303B7" w14:textId="77777777" w:rsidR="001678FD" w:rsidRPr="00707FED" w:rsidRDefault="00554225" w:rsidP="00A4347A">
            <w:pPr>
              <w:spacing w:after="120" w:line="276" w:lineRule="auto"/>
              <w:rPr>
                <w:rFonts w:ascii="Arial" w:eastAsia="Calibri" w:hAnsi="Arial" w:cs="Arial"/>
                <w:sz w:val="22"/>
                <w:szCs w:val="22"/>
              </w:rPr>
            </w:pPr>
            <w:r w:rsidRPr="00707FED">
              <w:rPr>
                <w:rFonts w:ascii="Arial" w:eastAsia="Calibri" w:hAnsi="Arial" w:cs="Arial"/>
              </w:rPr>
              <w:t xml:space="preserve">47 </w:t>
            </w:r>
            <w:r w:rsidR="00616D18" w:rsidRPr="00707FED">
              <w:rPr>
                <w:rFonts w:ascii="Arial" w:eastAsia="Calibri" w:hAnsi="Arial" w:cs="Arial"/>
              </w:rPr>
              <w:t>per cent of Aboriginal and Torres Strait Islander peoples (aged 20</w:t>
            </w:r>
            <w:r w:rsidR="00616D18" w:rsidRPr="00707FED">
              <w:rPr>
                <w:rFonts w:ascii="Arial" w:eastAsia="Calibri" w:hAnsi="Arial" w:cs="Arial"/>
              </w:rPr>
              <w:noBreakHyphen/>
              <w:t>64 years) have completed Certificate III or above, including higher education, by 2028</w:t>
            </w:r>
          </w:p>
          <w:p w14:paraId="78B282EE" w14:textId="77777777" w:rsidR="001678FD" w:rsidRPr="00444D48" w:rsidRDefault="001678FD" w:rsidP="00A4347A">
            <w:pPr>
              <w:spacing w:after="120" w:line="276" w:lineRule="auto"/>
              <w:rPr>
                <w:rFonts w:ascii="Arial" w:hAnsi="Arial" w:cs="Arial"/>
                <w:b/>
                <w:bCs/>
                <w:sz w:val="22"/>
                <w:szCs w:val="22"/>
                <w:highlight w:val="green"/>
              </w:rPr>
            </w:pPr>
          </w:p>
        </w:tc>
      </w:tr>
      <w:tr w:rsidR="00375FC1" w:rsidRPr="00444D48" w14:paraId="113714F7" w14:textId="77777777" w:rsidTr="00A4347A">
        <w:tc>
          <w:tcPr>
            <w:tcW w:w="2830" w:type="dxa"/>
            <w:vMerge w:val="restart"/>
          </w:tcPr>
          <w:p w14:paraId="4109E151" w14:textId="77777777" w:rsidR="00616D18" w:rsidRPr="00444D48" w:rsidRDefault="00616D18" w:rsidP="00DA30DC">
            <w:pPr>
              <w:spacing w:after="160" w:line="276" w:lineRule="auto"/>
              <w:jc w:val="center"/>
              <w:rPr>
                <w:rFonts w:ascii="Arial" w:hAnsi="Arial" w:cs="Arial"/>
                <w:i/>
                <w:sz w:val="22"/>
                <w:szCs w:val="22"/>
              </w:rPr>
            </w:pPr>
            <w:r w:rsidRPr="00444D48">
              <w:rPr>
                <w:rFonts w:ascii="Arial" w:hAnsi="Arial" w:cs="Arial"/>
                <w:i/>
              </w:rPr>
              <w:t>Economic Development</w:t>
            </w:r>
          </w:p>
          <w:p w14:paraId="3315ADD4" w14:textId="77777777" w:rsidR="00616D18" w:rsidRPr="00444D48" w:rsidRDefault="00616D18" w:rsidP="00DA30DC">
            <w:pPr>
              <w:spacing w:after="160" w:line="276" w:lineRule="auto"/>
              <w:rPr>
                <w:rFonts w:ascii="Arial" w:hAnsi="Arial" w:cs="Arial"/>
                <w:b/>
                <w:bCs/>
                <w:sz w:val="22"/>
                <w:szCs w:val="22"/>
              </w:rPr>
            </w:pPr>
            <w:r w:rsidRPr="00444D48">
              <w:rPr>
                <w:rFonts w:ascii="Arial" w:hAnsi="Arial" w:cs="Arial"/>
              </w:rPr>
              <w:t>Aboriginal and Torres Strait Islander people experience equal opportunity and economic prosperity</w:t>
            </w:r>
          </w:p>
        </w:tc>
        <w:tc>
          <w:tcPr>
            <w:tcW w:w="2835" w:type="dxa"/>
          </w:tcPr>
          <w:p w14:paraId="61BA69D7" w14:textId="77777777" w:rsidR="00616D18" w:rsidRPr="00444D48" w:rsidRDefault="00616D18" w:rsidP="00DA30DC">
            <w:pPr>
              <w:spacing w:after="160" w:line="276" w:lineRule="auto"/>
              <w:rPr>
                <w:rFonts w:ascii="Arial" w:hAnsi="Arial" w:cs="Arial"/>
                <w:b/>
                <w:bCs/>
                <w:sz w:val="22"/>
                <w:szCs w:val="22"/>
              </w:rPr>
            </w:pPr>
            <w:r w:rsidRPr="00444D48">
              <w:rPr>
                <w:rFonts w:ascii="Arial" w:hAnsi="Arial" w:cs="Arial"/>
              </w:rPr>
              <w:t>Aboriginal and Torres Strait Islander youth are engaged in employment or education</w:t>
            </w:r>
          </w:p>
        </w:tc>
        <w:tc>
          <w:tcPr>
            <w:tcW w:w="9498" w:type="dxa"/>
          </w:tcPr>
          <w:p w14:paraId="477B566A" w14:textId="77777777" w:rsidR="00375FC1" w:rsidRPr="00707FED" w:rsidRDefault="00375FC1" w:rsidP="00A4347A">
            <w:pPr>
              <w:spacing w:after="120" w:line="276" w:lineRule="auto"/>
              <w:rPr>
                <w:rFonts w:ascii="Arial" w:eastAsia="Calibri" w:hAnsi="Arial" w:cs="Arial"/>
                <w:sz w:val="22"/>
                <w:szCs w:val="22"/>
              </w:rPr>
            </w:pPr>
            <w:r w:rsidRPr="00444D48">
              <w:rPr>
                <w:rFonts w:ascii="Arial" w:hAnsi="Arial" w:cs="Arial"/>
                <w:b/>
                <w:bCs/>
              </w:rPr>
              <w:t>Commonwealth-led</w:t>
            </w:r>
            <w:r w:rsidR="0059753D" w:rsidRPr="00444D48">
              <w:rPr>
                <w:rFonts w:ascii="Arial" w:hAnsi="Arial" w:cs="Arial"/>
                <w:b/>
                <w:bCs/>
              </w:rPr>
              <w:t xml:space="preserve"> </w:t>
            </w:r>
          </w:p>
          <w:p w14:paraId="61AEFD44" w14:textId="77777777" w:rsidR="00616D18" w:rsidRPr="00444D48" w:rsidRDefault="00554225" w:rsidP="00A4347A">
            <w:pPr>
              <w:spacing w:after="120" w:line="276" w:lineRule="auto"/>
              <w:rPr>
                <w:rFonts w:ascii="Arial" w:hAnsi="Arial" w:cs="Arial"/>
                <w:b/>
                <w:bCs/>
                <w:sz w:val="22"/>
                <w:szCs w:val="22"/>
                <w:highlight w:val="green"/>
              </w:rPr>
            </w:pPr>
            <w:r w:rsidRPr="00707FED">
              <w:rPr>
                <w:rFonts w:ascii="Arial" w:eastAsia="Calibri" w:hAnsi="Arial" w:cs="Arial"/>
              </w:rPr>
              <w:t xml:space="preserve">65 </w:t>
            </w:r>
            <w:r w:rsidR="00616D18" w:rsidRPr="00707FED">
              <w:rPr>
                <w:rFonts w:ascii="Arial" w:eastAsia="Calibri" w:hAnsi="Arial" w:cs="Arial"/>
              </w:rPr>
              <w:t xml:space="preserve">per cent of Aboriginal and Torres Strait Islander youth (15-24 years) are in employment, education or training by 2028 </w:t>
            </w:r>
          </w:p>
        </w:tc>
      </w:tr>
      <w:tr w:rsidR="00375FC1" w:rsidRPr="00444D48" w14:paraId="1DBDD0B4" w14:textId="77777777" w:rsidTr="00A4347A">
        <w:tc>
          <w:tcPr>
            <w:tcW w:w="2830" w:type="dxa"/>
            <w:vMerge/>
          </w:tcPr>
          <w:p w14:paraId="092BF37E" w14:textId="77777777" w:rsidR="00616D18" w:rsidRPr="00444D48" w:rsidRDefault="00616D18" w:rsidP="00DA30DC">
            <w:pPr>
              <w:spacing w:after="160" w:line="276" w:lineRule="auto"/>
              <w:rPr>
                <w:rFonts w:ascii="Arial" w:hAnsi="Arial" w:cs="Arial"/>
                <w:b/>
                <w:bCs/>
                <w:sz w:val="22"/>
                <w:szCs w:val="22"/>
              </w:rPr>
            </w:pPr>
          </w:p>
        </w:tc>
        <w:tc>
          <w:tcPr>
            <w:tcW w:w="2835" w:type="dxa"/>
          </w:tcPr>
          <w:p w14:paraId="7628DF3E" w14:textId="77777777" w:rsidR="00616D18" w:rsidRPr="00444D48" w:rsidRDefault="00616D18" w:rsidP="00DA30DC">
            <w:pPr>
              <w:spacing w:after="160" w:line="276" w:lineRule="auto"/>
              <w:rPr>
                <w:rFonts w:ascii="Arial" w:hAnsi="Arial" w:cs="Arial"/>
                <w:b/>
                <w:bCs/>
                <w:sz w:val="22"/>
                <w:szCs w:val="22"/>
              </w:rPr>
            </w:pPr>
            <w:r w:rsidRPr="00444D48">
              <w:rPr>
                <w:rFonts w:ascii="Arial" w:hAnsi="Arial" w:cs="Arial"/>
              </w:rPr>
              <w:t xml:space="preserve">Strong Aboriginal and Torres Strait Islander workforce participation </w:t>
            </w:r>
          </w:p>
        </w:tc>
        <w:tc>
          <w:tcPr>
            <w:tcW w:w="9498" w:type="dxa"/>
          </w:tcPr>
          <w:p w14:paraId="19094FC0" w14:textId="77777777" w:rsidR="00375FC1" w:rsidRPr="00707FED" w:rsidRDefault="00375FC1" w:rsidP="00A4347A">
            <w:pPr>
              <w:spacing w:after="120" w:line="276" w:lineRule="auto"/>
              <w:rPr>
                <w:rFonts w:ascii="Arial" w:eastAsia="Calibri" w:hAnsi="Arial" w:cs="Arial"/>
                <w:sz w:val="22"/>
                <w:szCs w:val="22"/>
              </w:rPr>
            </w:pPr>
            <w:r w:rsidRPr="00444D48">
              <w:rPr>
                <w:rFonts w:ascii="Arial" w:hAnsi="Arial" w:cs="Arial"/>
                <w:b/>
                <w:bCs/>
              </w:rPr>
              <w:t>Commonwealth-led</w:t>
            </w:r>
            <w:r w:rsidR="0059753D" w:rsidRPr="00444D48">
              <w:rPr>
                <w:rFonts w:ascii="Arial" w:hAnsi="Arial" w:cs="Arial"/>
                <w:b/>
                <w:bCs/>
              </w:rPr>
              <w:t xml:space="preserve"> </w:t>
            </w:r>
          </w:p>
          <w:p w14:paraId="154546E7" w14:textId="77777777" w:rsidR="00616D18" w:rsidRPr="00444D48" w:rsidRDefault="00554225" w:rsidP="00A4347A">
            <w:pPr>
              <w:spacing w:after="120" w:line="276" w:lineRule="auto"/>
              <w:rPr>
                <w:rFonts w:ascii="Arial" w:hAnsi="Arial" w:cs="Arial"/>
                <w:b/>
                <w:bCs/>
                <w:sz w:val="22"/>
                <w:szCs w:val="22"/>
                <w:highlight w:val="green"/>
              </w:rPr>
            </w:pPr>
            <w:r w:rsidRPr="00707FED">
              <w:rPr>
                <w:rFonts w:ascii="Arial" w:eastAsia="Calibri" w:hAnsi="Arial" w:cs="Arial"/>
              </w:rPr>
              <w:t xml:space="preserve">60 </w:t>
            </w:r>
            <w:r w:rsidR="00616D18" w:rsidRPr="00707FED">
              <w:rPr>
                <w:rFonts w:ascii="Arial" w:eastAsia="Calibri" w:hAnsi="Arial" w:cs="Arial"/>
              </w:rPr>
              <w:t>per cent of Aboriginal and Torres Strait Islander people aged 25</w:t>
            </w:r>
            <w:r w:rsidR="00616D18" w:rsidRPr="00707FED">
              <w:rPr>
                <w:rFonts w:ascii="Arial" w:eastAsia="Calibri" w:hAnsi="Arial" w:cs="Arial"/>
              </w:rPr>
              <w:noBreakHyphen/>
              <w:t>64 years are employed by 2028</w:t>
            </w:r>
          </w:p>
        </w:tc>
      </w:tr>
      <w:tr w:rsidR="00616D18" w:rsidRPr="00444D48" w14:paraId="3A0F2CCA" w14:textId="77777777" w:rsidTr="00707FED">
        <w:trPr>
          <w:cantSplit/>
        </w:trPr>
        <w:tc>
          <w:tcPr>
            <w:tcW w:w="2830" w:type="dxa"/>
          </w:tcPr>
          <w:p w14:paraId="15FC597E" w14:textId="77777777" w:rsidR="00616D18" w:rsidRPr="00444D48" w:rsidRDefault="00616D18" w:rsidP="00DA30DC">
            <w:pPr>
              <w:spacing w:after="160" w:line="276" w:lineRule="auto"/>
              <w:jc w:val="center"/>
              <w:rPr>
                <w:rFonts w:ascii="Arial" w:hAnsi="Arial" w:cs="Arial"/>
                <w:i/>
                <w:sz w:val="22"/>
                <w:szCs w:val="22"/>
              </w:rPr>
            </w:pPr>
            <w:r w:rsidRPr="00444D48">
              <w:rPr>
                <w:rFonts w:ascii="Arial" w:hAnsi="Arial" w:cs="Arial"/>
                <w:i/>
              </w:rPr>
              <w:lastRenderedPageBreak/>
              <w:t>Housing</w:t>
            </w:r>
          </w:p>
          <w:p w14:paraId="0D01F0EC" w14:textId="77777777" w:rsidR="00616D18" w:rsidRPr="00444D48" w:rsidRDefault="00616D18" w:rsidP="00DA30DC">
            <w:pPr>
              <w:spacing w:after="160" w:line="276" w:lineRule="auto"/>
              <w:rPr>
                <w:rFonts w:ascii="Arial" w:hAnsi="Arial" w:cs="Arial"/>
                <w:b/>
                <w:bCs/>
                <w:sz w:val="22"/>
                <w:szCs w:val="22"/>
              </w:rPr>
            </w:pPr>
            <w:r w:rsidRPr="00444D48">
              <w:rPr>
                <w:rFonts w:ascii="Arial" w:hAnsi="Arial" w:cs="Arial"/>
              </w:rPr>
              <w:t>Aboriginal and Torres Strait Islander people secure appropriate, affordable housing as a pathway to better lives</w:t>
            </w:r>
          </w:p>
        </w:tc>
        <w:tc>
          <w:tcPr>
            <w:tcW w:w="2835" w:type="dxa"/>
          </w:tcPr>
          <w:p w14:paraId="1E843F6A" w14:textId="77777777" w:rsidR="00616D18" w:rsidRPr="00444D48" w:rsidRDefault="00616D18" w:rsidP="00DA30DC">
            <w:pPr>
              <w:spacing w:after="160" w:line="276" w:lineRule="auto"/>
              <w:rPr>
                <w:rFonts w:ascii="Arial" w:hAnsi="Arial" w:cs="Arial"/>
                <w:b/>
                <w:bCs/>
                <w:sz w:val="22"/>
                <w:szCs w:val="22"/>
              </w:rPr>
            </w:pPr>
            <w:r w:rsidRPr="00444D48">
              <w:rPr>
                <w:rFonts w:ascii="Arial" w:hAnsi="Arial" w:cs="Arial"/>
              </w:rPr>
              <w:t>Aboriginal and Torres Strait Islander people secure appropriate, affordable housing as a pathway to better lives</w:t>
            </w:r>
          </w:p>
        </w:tc>
        <w:tc>
          <w:tcPr>
            <w:tcW w:w="9498" w:type="dxa"/>
          </w:tcPr>
          <w:p w14:paraId="52818964" w14:textId="77777777" w:rsidR="00375FC1" w:rsidRPr="00707FED" w:rsidRDefault="00375FC1" w:rsidP="00A4347A">
            <w:pPr>
              <w:spacing w:after="120" w:line="276" w:lineRule="auto"/>
              <w:rPr>
                <w:rFonts w:ascii="Arial" w:eastAsia="Calibri" w:hAnsi="Arial" w:cs="Arial"/>
                <w:sz w:val="22"/>
                <w:szCs w:val="22"/>
              </w:rPr>
            </w:pPr>
            <w:r w:rsidRPr="00444D48">
              <w:rPr>
                <w:rFonts w:ascii="Arial" w:hAnsi="Arial" w:cs="Arial"/>
                <w:b/>
                <w:bCs/>
              </w:rPr>
              <w:t>State-led</w:t>
            </w:r>
            <w:r w:rsidR="0059753D" w:rsidRPr="00444D48">
              <w:rPr>
                <w:rFonts w:ascii="Arial" w:hAnsi="Arial" w:cs="Arial"/>
                <w:b/>
                <w:bCs/>
              </w:rPr>
              <w:t xml:space="preserve"> </w:t>
            </w:r>
          </w:p>
          <w:p w14:paraId="4E80B0E5" w14:textId="77777777" w:rsidR="00616D18" w:rsidRPr="00444D48" w:rsidRDefault="00E12F4F">
            <w:pPr>
              <w:spacing w:after="120" w:line="276" w:lineRule="auto"/>
              <w:rPr>
                <w:rFonts w:ascii="Arial" w:hAnsi="Arial" w:cs="Arial"/>
                <w:b/>
                <w:bCs/>
                <w:sz w:val="22"/>
                <w:szCs w:val="22"/>
              </w:rPr>
            </w:pPr>
            <w:r w:rsidRPr="00707FED">
              <w:rPr>
                <w:rFonts w:ascii="Arial" w:eastAsia="Calibri" w:hAnsi="Arial" w:cs="Arial"/>
              </w:rPr>
              <w:t xml:space="preserve">Increase the proportion of Aboriginal and Torres Strait Islander population living in appropriately sized (not overcrowded) housing </w:t>
            </w:r>
            <w:r w:rsidR="00AE3F71" w:rsidRPr="00707FED">
              <w:rPr>
                <w:rFonts w:ascii="Arial" w:eastAsia="Calibri" w:hAnsi="Arial" w:cs="Arial"/>
              </w:rPr>
              <w:t>to</w:t>
            </w:r>
            <w:r w:rsidRPr="00707FED">
              <w:rPr>
                <w:rFonts w:ascii="Arial" w:eastAsia="Calibri" w:hAnsi="Arial" w:cs="Arial"/>
              </w:rPr>
              <w:t xml:space="preserve"> </w:t>
            </w:r>
            <w:r w:rsidR="00AE3F71" w:rsidRPr="00707FED">
              <w:rPr>
                <w:rFonts w:ascii="Arial" w:eastAsia="Calibri" w:hAnsi="Arial" w:cs="Arial"/>
              </w:rPr>
              <w:t>82</w:t>
            </w:r>
            <w:r w:rsidRPr="00707FED">
              <w:rPr>
                <w:rFonts w:ascii="Arial" w:eastAsia="Calibri" w:hAnsi="Arial" w:cs="Arial"/>
              </w:rPr>
              <w:t xml:space="preserve"> </w:t>
            </w:r>
            <w:r w:rsidR="0085023E" w:rsidRPr="00707FED">
              <w:rPr>
                <w:rFonts w:ascii="Arial" w:eastAsia="Calibri" w:hAnsi="Arial" w:cs="Arial"/>
              </w:rPr>
              <w:t>per cent</w:t>
            </w:r>
            <w:r w:rsidRPr="00707FED">
              <w:rPr>
                <w:rFonts w:ascii="Arial" w:eastAsia="Calibri" w:hAnsi="Arial" w:cs="Arial"/>
              </w:rPr>
              <w:t xml:space="preserve"> by 2028</w:t>
            </w:r>
            <w:r w:rsidRPr="00707FED" w:rsidDel="00E12F4F">
              <w:rPr>
                <w:rFonts w:ascii="Arial" w:eastAsia="Calibri" w:hAnsi="Arial" w:cs="Arial"/>
              </w:rPr>
              <w:t xml:space="preserve"> </w:t>
            </w:r>
          </w:p>
        </w:tc>
      </w:tr>
      <w:tr w:rsidR="00375FC1" w:rsidRPr="00444D48" w14:paraId="6F82FACC" w14:textId="77777777" w:rsidTr="00A4347A">
        <w:tc>
          <w:tcPr>
            <w:tcW w:w="2830" w:type="dxa"/>
          </w:tcPr>
          <w:p w14:paraId="733614ED" w14:textId="77777777" w:rsidR="00616D18" w:rsidRPr="00444D48" w:rsidRDefault="00616D18" w:rsidP="00DA30DC">
            <w:pPr>
              <w:spacing w:after="160" w:line="276" w:lineRule="auto"/>
              <w:jc w:val="center"/>
              <w:rPr>
                <w:rFonts w:ascii="Arial" w:hAnsi="Arial" w:cs="Arial"/>
                <w:i/>
                <w:sz w:val="22"/>
                <w:szCs w:val="22"/>
              </w:rPr>
            </w:pPr>
            <w:r w:rsidRPr="00444D48">
              <w:rPr>
                <w:rFonts w:ascii="Arial" w:hAnsi="Arial" w:cs="Arial"/>
                <w:i/>
              </w:rPr>
              <w:t>Justice, including youth justice</w:t>
            </w:r>
          </w:p>
          <w:p w14:paraId="7CCDB63D" w14:textId="77777777" w:rsidR="00616D18" w:rsidRPr="00444D48" w:rsidRDefault="00616D18" w:rsidP="00DA30DC">
            <w:pPr>
              <w:spacing w:after="160" w:line="276" w:lineRule="auto"/>
              <w:rPr>
                <w:rFonts w:ascii="Arial" w:hAnsi="Arial" w:cs="Arial"/>
                <w:b/>
                <w:bCs/>
                <w:sz w:val="22"/>
                <w:szCs w:val="22"/>
              </w:rPr>
            </w:pPr>
            <w:r w:rsidRPr="00444D48">
              <w:rPr>
                <w:rFonts w:ascii="Arial" w:hAnsi="Arial" w:cs="Arial"/>
              </w:rPr>
              <w:t>Aboriginal and Torres Strait Islander people are not overrepresented in the criminal justice system</w:t>
            </w:r>
          </w:p>
        </w:tc>
        <w:tc>
          <w:tcPr>
            <w:tcW w:w="2835" w:type="dxa"/>
          </w:tcPr>
          <w:p w14:paraId="7AD542F5" w14:textId="77777777" w:rsidR="00616D18" w:rsidRPr="00444D48" w:rsidRDefault="00616D18">
            <w:pPr>
              <w:spacing w:after="160" w:line="276" w:lineRule="auto"/>
              <w:rPr>
                <w:rFonts w:ascii="Arial" w:hAnsi="Arial" w:cs="Arial"/>
                <w:b/>
                <w:bCs/>
                <w:sz w:val="22"/>
                <w:szCs w:val="22"/>
              </w:rPr>
            </w:pPr>
            <w:r w:rsidRPr="00444D48">
              <w:rPr>
                <w:rFonts w:ascii="Arial" w:hAnsi="Arial" w:cs="Arial"/>
              </w:rPr>
              <w:t>Aboriginal and Torres Strait Islander people are not overrepresented in the criminal justice system</w:t>
            </w:r>
          </w:p>
        </w:tc>
        <w:tc>
          <w:tcPr>
            <w:tcW w:w="9498" w:type="dxa"/>
          </w:tcPr>
          <w:p w14:paraId="6276BA7F" w14:textId="77777777" w:rsidR="00375FC1" w:rsidRPr="00707FED" w:rsidRDefault="00375FC1" w:rsidP="00A4347A">
            <w:pPr>
              <w:spacing w:after="120" w:line="276" w:lineRule="auto"/>
              <w:rPr>
                <w:rFonts w:ascii="Arial" w:hAnsi="Arial" w:cs="Arial"/>
                <w:sz w:val="22"/>
                <w:szCs w:val="22"/>
              </w:rPr>
            </w:pPr>
            <w:r w:rsidRPr="00444D48">
              <w:rPr>
                <w:rFonts w:ascii="Arial" w:hAnsi="Arial" w:cs="Arial"/>
                <w:b/>
                <w:bCs/>
              </w:rPr>
              <w:t>State-led</w:t>
            </w:r>
            <w:r w:rsidR="0059753D" w:rsidRPr="00444D48">
              <w:rPr>
                <w:rFonts w:ascii="Arial" w:hAnsi="Arial" w:cs="Arial"/>
                <w:b/>
                <w:bCs/>
              </w:rPr>
              <w:t xml:space="preserve"> </w:t>
            </w:r>
          </w:p>
          <w:p w14:paraId="7FDD7FF6" w14:textId="77777777" w:rsidR="001678FD" w:rsidRPr="00707FED" w:rsidRDefault="00E12F4F" w:rsidP="00A4347A">
            <w:pPr>
              <w:autoSpaceDE w:val="0"/>
              <w:autoSpaceDN w:val="0"/>
              <w:adjustRightInd w:val="0"/>
              <w:spacing w:after="120" w:line="276" w:lineRule="auto"/>
              <w:rPr>
                <w:rFonts w:ascii="Arial" w:eastAsia="Calibri" w:hAnsi="Arial" w:cs="Arial"/>
                <w:sz w:val="22"/>
                <w:szCs w:val="22"/>
              </w:rPr>
            </w:pPr>
            <w:r w:rsidRPr="00707FED">
              <w:rPr>
                <w:rFonts w:ascii="Arial" w:hAnsi="Arial" w:cs="Arial"/>
              </w:rPr>
              <w:t xml:space="preserve">Reduce the rate of Aboriginal and Torres Strait Islander young people in detention by </w:t>
            </w:r>
            <w:r w:rsidR="00902BD4" w:rsidRPr="00707FED">
              <w:rPr>
                <w:rFonts w:ascii="Arial" w:hAnsi="Arial" w:cs="Arial"/>
              </w:rPr>
              <w:t>11</w:t>
            </w:r>
            <w:r w:rsidR="00902BD4" w:rsidRPr="00707FED">
              <w:rPr>
                <w:rFonts w:ascii="Arial" w:hAnsi="Arial" w:cs="Arial"/>
              </w:rPr>
              <w:noBreakHyphen/>
            </w:r>
            <w:r w:rsidR="00AE3F71" w:rsidRPr="00707FED">
              <w:rPr>
                <w:rFonts w:ascii="Arial" w:hAnsi="Arial" w:cs="Arial"/>
              </w:rPr>
              <w:t>19</w:t>
            </w:r>
            <w:r w:rsidR="00902BD4" w:rsidRPr="00707FED">
              <w:rPr>
                <w:rFonts w:ascii="Arial" w:hAnsi="Arial" w:cs="Arial"/>
              </w:rPr>
              <w:t> </w:t>
            </w:r>
            <w:r w:rsidRPr="00707FED">
              <w:rPr>
                <w:rFonts w:ascii="Arial" w:hAnsi="Arial" w:cs="Arial"/>
              </w:rPr>
              <w:t xml:space="preserve">per cent and adults held in incarceration by </w:t>
            </w:r>
            <w:r w:rsidR="001134CA" w:rsidRPr="00707FED">
              <w:rPr>
                <w:rFonts w:ascii="Arial" w:hAnsi="Arial" w:cs="Arial"/>
              </w:rPr>
              <w:t>at least 5</w:t>
            </w:r>
            <w:r w:rsidRPr="00707FED">
              <w:rPr>
                <w:rFonts w:ascii="Arial" w:hAnsi="Arial" w:cs="Arial"/>
              </w:rPr>
              <w:t xml:space="preserve"> per</w:t>
            </w:r>
            <w:r w:rsidR="0085023E" w:rsidRPr="00707FED">
              <w:rPr>
                <w:rFonts w:ascii="Arial" w:hAnsi="Arial" w:cs="Arial"/>
              </w:rPr>
              <w:t xml:space="preserve"> </w:t>
            </w:r>
            <w:r w:rsidRPr="00707FED">
              <w:rPr>
                <w:rFonts w:ascii="Arial" w:hAnsi="Arial" w:cs="Arial"/>
              </w:rPr>
              <w:t xml:space="preserve">cent by 2028 </w:t>
            </w:r>
          </w:p>
        </w:tc>
      </w:tr>
      <w:tr w:rsidR="00616D18" w:rsidRPr="00444D48" w14:paraId="361E47CB" w14:textId="77777777" w:rsidTr="00A4347A">
        <w:tc>
          <w:tcPr>
            <w:tcW w:w="2830" w:type="dxa"/>
          </w:tcPr>
          <w:p w14:paraId="0EDC5CD2" w14:textId="77777777" w:rsidR="00616D18" w:rsidRPr="00444D48" w:rsidRDefault="00616D18" w:rsidP="00DA30DC">
            <w:pPr>
              <w:spacing w:after="160" w:line="276" w:lineRule="auto"/>
              <w:jc w:val="center"/>
              <w:rPr>
                <w:rFonts w:ascii="Arial" w:hAnsi="Arial" w:cs="Arial"/>
                <w:i/>
                <w:sz w:val="22"/>
                <w:szCs w:val="22"/>
              </w:rPr>
            </w:pPr>
            <w:r w:rsidRPr="00444D48">
              <w:rPr>
                <w:rFonts w:ascii="Arial" w:hAnsi="Arial" w:cs="Arial"/>
                <w:i/>
              </w:rPr>
              <w:t>Land and waters</w:t>
            </w:r>
          </w:p>
          <w:p w14:paraId="36E1AFBE" w14:textId="77777777" w:rsidR="00616D18" w:rsidRPr="00444D48" w:rsidRDefault="00616D18" w:rsidP="00DA30DC">
            <w:pPr>
              <w:spacing w:after="160" w:line="276" w:lineRule="auto"/>
              <w:rPr>
                <w:rFonts w:ascii="Arial" w:hAnsi="Arial" w:cs="Arial"/>
                <w:b/>
                <w:bCs/>
                <w:sz w:val="22"/>
                <w:szCs w:val="22"/>
              </w:rPr>
            </w:pPr>
            <w:r w:rsidRPr="00444D48">
              <w:rPr>
                <w:rFonts w:ascii="Arial" w:hAnsi="Arial" w:cs="Arial"/>
              </w:rPr>
              <w:t>Aboriginal and Torres Strait Islander people maintain distinctive spiritual, physical and economic relationship with the land and waters</w:t>
            </w:r>
          </w:p>
        </w:tc>
        <w:tc>
          <w:tcPr>
            <w:tcW w:w="2835" w:type="dxa"/>
          </w:tcPr>
          <w:p w14:paraId="0B1FE27F" w14:textId="77777777" w:rsidR="00616D18" w:rsidRPr="00444D48" w:rsidRDefault="00616D18" w:rsidP="00DA30DC">
            <w:pPr>
              <w:spacing w:after="160" w:line="276" w:lineRule="auto"/>
              <w:rPr>
                <w:rFonts w:ascii="Arial" w:hAnsi="Arial" w:cs="Arial"/>
                <w:b/>
                <w:bCs/>
                <w:sz w:val="22"/>
                <w:szCs w:val="22"/>
              </w:rPr>
            </w:pPr>
            <w:r w:rsidRPr="00444D48">
              <w:rPr>
                <w:rFonts w:ascii="Arial" w:hAnsi="Arial" w:cs="Arial"/>
              </w:rPr>
              <w:t>Aboriginal and Torres Strait Islander peoples’ land, water and cultural rights are realised</w:t>
            </w:r>
          </w:p>
        </w:tc>
        <w:tc>
          <w:tcPr>
            <w:tcW w:w="9498" w:type="dxa"/>
          </w:tcPr>
          <w:p w14:paraId="6140C6C6" w14:textId="77777777" w:rsidR="00375FC1" w:rsidRPr="00707FED" w:rsidRDefault="00375FC1" w:rsidP="00A4347A">
            <w:pPr>
              <w:autoSpaceDE w:val="0"/>
              <w:autoSpaceDN w:val="0"/>
              <w:adjustRightInd w:val="0"/>
              <w:spacing w:after="120" w:line="276" w:lineRule="auto"/>
              <w:rPr>
                <w:rFonts w:ascii="Arial" w:hAnsi="Arial" w:cs="Arial"/>
                <w:sz w:val="22"/>
                <w:szCs w:val="22"/>
              </w:rPr>
            </w:pPr>
            <w:r w:rsidRPr="00707FED">
              <w:rPr>
                <w:rFonts w:ascii="Arial" w:hAnsi="Arial" w:cs="Arial"/>
                <w:b/>
              </w:rPr>
              <w:t>Commonwealth-led</w:t>
            </w:r>
            <w:r w:rsidR="0059753D" w:rsidRPr="00707FED">
              <w:rPr>
                <w:rFonts w:ascii="Arial" w:hAnsi="Arial" w:cs="Arial"/>
              </w:rPr>
              <w:t xml:space="preserve"> </w:t>
            </w:r>
            <w:r w:rsidR="009A3A6D" w:rsidRPr="00707FED">
              <w:rPr>
                <w:rFonts w:ascii="Arial" w:hAnsi="Arial" w:cs="Arial"/>
              </w:rPr>
              <w:t>(</w:t>
            </w:r>
            <w:r w:rsidR="00E95C4B" w:rsidRPr="00707FED">
              <w:rPr>
                <w:rFonts w:ascii="Arial" w:hAnsi="Arial" w:cs="Arial"/>
              </w:rPr>
              <w:t xml:space="preserve">target to be further refined during </w:t>
            </w:r>
            <w:r w:rsidR="000769FD" w:rsidRPr="00707FED">
              <w:rPr>
                <w:rFonts w:ascii="Arial" w:hAnsi="Arial" w:cs="Arial"/>
              </w:rPr>
              <w:t xml:space="preserve">further </w:t>
            </w:r>
            <w:r w:rsidR="00E95C4B" w:rsidRPr="00707FED">
              <w:rPr>
                <w:rFonts w:ascii="Arial" w:hAnsi="Arial" w:cs="Arial"/>
              </w:rPr>
              <w:t>consultation</w:t>
            </w:r>
            <w:r w:rsidR="009A3A6D" w:rsidRPr="00707FED">
              <w:rPr>
                <w:rFonts w:ascii="Arial" w:hAnsi="Arial" w:cs="Arial"/>
              </w:rPr>
              <w:t>)</w:t>
            </w:r>
          </w:p>
          <w:p w14:paraId="0D169351" w14:textId="77777777" w:rsidR="00616D18" w:rsidRPr="00707FED" w:rsidRDefault="00A4347A" w:rsidP="00A4347A">
            <w:pPr>
              <w:autoSpaceDE w:val="0"/>
              <w:autoSpaceDN w:val="0"/>
              <w:adjustRightInd w:val="0"/>
              <w:spacing w:after="120" w:line="276" w:lineRule="auto"/>
              <w:rPr>
                <w:rFonts w:ascii="Arial" w:hAnsi="Arial" w:cs="Arial"/>
                <w:sz w:val="22"/>
                <w:szCs w:val="22"/>
              </w:rPr>
            </w:pPr>
            <w:r w:rsidRPr="00707FED">
              <w:rPr>
                <w:rFonts w:ascii="Arial" w:hAnsi="Arial" w:cs="Arial"/>
              </w:rPr>
              <w:t>A Land and Waters target will be developed by mid-2019 by all jurisdictions to support Aboriginal and Torres Strait Islander peoples’ access</w:t>
            </w:r>
            <w:r w:rsidR="00BD33E9">
              <w:rPr>
                <w:rFonts w:ascii="Arial" w:hAnsi="Arial" w:cs="Arial"/>
              </w:rPr>
              <w:t xml:space="preserve"> to</w:t>
            </w:r>
            <w:r w:rsidRPr="00707FED">
              <w:rPr>
                <w:rFonts w:ascii="Arial" w:hAnsi="Arial" w:cs="Arial"/>
              </w:rPr>
              <w:t>, management and ownership of</w:t>
            </w:r>
            <w:r w:rsidR="00BD33E9">
              <w:rPr>
                <w:rFonts w:ascii="Arial" w:hAnsi="Arial" w:cs="Arial"/>
              </w:rPr>
              <w:t>,</w:t>
            </w:r>
            <w:r w:rsidRPr="00707FED">
              <w:rPr>
                <w:rFonts w:ascii="Arial" w:hAnsi="Arial" w:cs="Arial"/>
              </w:rPr>
              <w:t xml:space="preserve"> land of which they have a traditional association, or which can assist with their social, cultural and economic development</w:t>
            </w:r>
          </w:p>
        </w:tc>
      </w:tr>
    </w:tbl>
    <w:p w14:paraId="42B50785" w14:textId="77777777" w:rsidR="00FF6822" w:rsidRPr="00444D48" w:rsidRDefault="00FF6822" w:rsidP="003972E5">
      <w:pPr>
        <w:spacing w:line="276" w:lineRule="auto"/>
        <w:rPr>
          <w:rFonts w:ascii="Arial" w:hAnsi="Arial" w:cs="Arial"/>
          <w:sz w:val="23"/>
          <w:szCs w:val="23"/>
        </w:rPr>
        <w:sectPr w:rsidR="00FF6822" w:rsidRPr="00444D48" w:rsidSect="00495E75">
          <w:pgSz w:w="16838" w:h="11906" w:orient="landscape"/>
          <w:pgMar w:top="1276" w:right="962" w:bottom="1133" w:left="720" w:header="708" w:footer="708" w:gutter="0"/>
          <w:cols w:space="708"/>
          <w:docGrid w:linePitch="360"/>
        </w:sectPr>
      </w:pPr>
    </w:p>
    <w:p w14:paraId="35EE4BD0" w14:textId="77777777" w:rsidR="002C1FD2" w:rsidRPr="00444D48" w:rsidRDefault="009D5AA7" w:rsidP="008B7B4E">
      <w:pPr>
        <w:spacing w:line="264" w:lineRule="auto"/>
        <w:rPr>
          <w:rFonts w:ascii="Arial" w:hAnsi="Arial" w:cs="Arial"/>
          <w:b/>
          <w:sz w:val="23"/>
          <w:szCs w:val="23"/>
        </w:rPr>
      </w:pPr>
      <w:r w:rsidRPr="00444D48">
        <w:rPr>
          <w:rFonts w:ascii="Arial" w:hAnsi="Arial" w:cs="Arial"/>
          <w:b/>
          <w:sz w:val="23"/>
          <w:szCs w:val="23"/>
        </w:rPr>
        <w:lastRenderedPageBreak/>
        <w:t xml:space="preserve">PUBLIC ACCOUNTABILITY </w:t>
      </w:r>
    </w:p>
    <w:p w14:paraId="11DF43E1" w14:textId="77777777" w:rsidR="00CE014F" w:rsidRPr="00444D48" w:rsidRDefault="00CE014F" w:rsidP="008B7B4E">
      <w:pPr>
        <w:spacing w:line="264" w:lineRule="auto"/>
        <w:rPr>
          <w:rFonts w:ascii="Arial" w:hAnsi="Arial" w:cs="Arial"/>
          <w:sz w:val="23"/>
          <w:szCs w:val="23"/>
        </w:rPr>
      </w:pPr>
      <w:r w:rsidRPr="00444D48">
        <w:rPr>
          <w:rFonts w:ascii="Arial" w:hAnsi="Arial" w:cs="Arial"/>
          <w:sz w:val="23"/>
          <w:szCs w:val="23"/>
        </w:rPr>
        <w:t xml:space="preserve">Closing the Gap is </w:t>
      </w:r>
      <w:r w:rsidR="00D46467" w:rsidRPr="00444D48">
        <w:rPr>
          <w:rFonts w:ascii="Arial" w:hAnsi="Arial" w:cs="Arial"/>
          <w:sz w:val="23"/>
          <w:szCs w:val="23"/>
        </w:rPr>
        <w:t xml:space="preserve">a </w:t>
      </w:r>
      <w:r w:rsidRPr="00444D48">
        <w:rPr>
          <w:rFonts w:ascii="Arial" w:hAnsi="Arial" w:cs="Arial"/>
          <w:sz w:val="23"/>
          <w:szCs w:val="23"/>
        </w:rPr>
        <w:t>whole-of-government agenda</w:t>
      </w:r>
      <w:r w:rsidR="00FB0FA1" w:rsidRPr="00444D48">
        <w:rPr>
          <w:rFonts w:ascii="Arial" w:hAnsi="Arial" w:cs="Arial"/>
          <w:sz w:val="23"/>
          <w:szCs w:val="23"/>
        </w:rPr>
        <w:t xml:space="preserve"> for the Commonwealth and each state and t</w:t>
      </w:r>
      <w:r w:rsidRPr="00444D48">
        <w:rPr>
          <w:rFonts w:ascii="Arial" w:hAnsi="Arial" w:cs="Arial"/>
          <w:sz w:val="23"/>
          <w:szCs w:val="23"/>
        </w:rPr>
        <w:t>erritory. To provide direct accountability to Aboriginal and Torres Strait Islander</w:t>
      </w:r>
      <w:r w:rsidR="00B2479C" w:rsidRPr="00444D48">
        <w:rPr>
          <w:rFonts w:ascii="Arial" w:hAnsi="Arial" w:cs="Arial"/>
          <w:sz w:val="23"/>
          <w:szCs w:val="23"/>
        </w:rPr>
        <w:t xml:space="preserve"> people</w:t>
      </w:r>
      <w:r w:rsidR="004004C3" w:rsidRPr="00444D48">
        <w:rPr>
          <w:rFonts w:ascii="Arial" w:hAnsi="Arial" w:cs="Arial"/>
          <w:sz w:val="23"/>
          <w:szCs w:val="23"/>
        </w:rPr>
        <w:t>s</w:t>
      </w:r>
      <w:r w:rsidRPr="00444D48">
        <w:rPr>
          <w:rFonts w:ascii="Arial" w:hAnsi="Arial" w:cs="Arial"/>
          <w:sz w:val="23"/>
          <w:szCs w:val="23"/>
        </w:rPr>
        <w:t xml:space="preserve"> and the Australian public as a whole,</w:t>
      </w:r>
      <w:r w:rsidR="005537B3" w:rsidRPr="00444D48">
        <w:rPr>
          <w:rFonts w:ascii="Arial" w:hAnsi="Arial" w:cs="Arial"/>
          <w:sz w:val="23"/>
          <w:szCs w:val="23"/>
        </w:rPr>
        <w:t xml:space="preserve"> each jurisdiction will report publicly each year</w:t>
      </w:r>
      <w:r w:rsidR="00A05352" w:rsidRPr="00444D48">
        <w:rPr>
          <w:rFonts w:ascii="Arial" w:hAnsi="Arial" w:cs="Arial"/>
          <w:sz w:val="23"/>
          <w:szCs w:val="23"/>
        </w:rPr>
        <w:t xml:space="preserve"> </w:t>
      </w:r>
      <w:r w:rsidR="004841F8" w:rsidRPr="00444D48">
        <w:rPr>
          <w:rFonts w:ascii="Arial" w:hAnsi="Arial" w:cs="Arial"/>
          <w:sz w:val="23"/>
          <w:szCs w:val="23"/>
        </w:rPr>
        <w:t xml:space="preserve">on its Closing the Gap strategy. </w:t>
      </w:r>
      <w:r w:rsidR="00313BC8" w:rsidRPr="00444D48">
        <w:rPr>
          <w:rFonts w:ascii="Arial" w:hAnsi="Arial" w:cs="Arial"/>
          <w:sz w:val="23"/>
          <w:szCs w:val="23"/>
        </w:rPr>
        <w:t>T</w:t>
      </w:r>
      <w:r w:rsidRPr="00444D48">
        <w:rPr>
          <w:rFonts w:ascii="Arial" w:hAnsi="Arial" w:cs="Arial"/>
          <w:sz w:val="23"/>
          <w:szCs w:val="23"/>
        </w:rPr>
        <w:t>he Prime Minister will make a</w:t>
      </w:r>
      <w:r w:rsidR="00C057AD" w:rsidRPr="00444D48">
        <w:rPr>
          <w:rFonts w:ascii="Arial" w:hAnsi="Arial" w:cs="Arial"/>
          <w:sz w:val="23"/>
          <w:szCs w:val="23"/>
        </w:rPr>
        <w:t>n annual</w:t>
      </w:r>
      <w:r w:rsidRPr="00444D48">
        <w:rPr>
          <w:rFonts w:ascii="Arial" w:hAnsi="Arial" w:cs="Arial"/>
          <w:sz w:val="23"/>
          <w:szCs w:val="23"/>
        </w:rPr>
        <w:t xml:space="preserve"> statement </w:t>
      </w:r>
      <w:r w:rsidR="00313BC8" w:rsidRPr="00444D48">
        <w:rPr>
          <w:rFonts w:ascii="Arial" w:hAnsi="Arial" w:cs="Arial"/>
          <w:sz w:val="23"/>
          <w:szCs w:val="23"/>
        </w:rPr>
        <w:t xml:space="preserve">to </w:t>
      </w:r>
      <w:r w:rsidRPr="00444D48">
        <w:rPr>
          <w:rFonts w:ascii="Arial" w:hAnsi="Arial" w:cs="Arial"/>
          <w:sz w:val="23"/>
          <w:szCs w:val="23"/>
        </w:rPr>
        <w:t>parl</w:t>
      </w:r>
      <w:r w:rsidR="00313BC8" w:rsidRPr="00444D48">
        <w:rPr>
          <w:rFonts w:ascii="Arial" w:hAnsi="Arial" w:cs="Arial"/>
          <w:sz w:val="23"/>
          <w:szCs w:val="23"/>
        </w:rPr>
        <w:t xml:space="preserve">iament. </w:t>
      </w:r>
      <w:r w:rsidR="005537B3" w:rsidRPr="00444D48">
        <w:rPr>
          <w:rFonts w:ascii="Arial" w:hAnsi="Arial" w:cs="Arial"/>
          <w:sz w:val="23"/>
          <w:szCs w:val="23"/>
        </w:rPr>
        <w:t xml:space="preserve"> </w:t>
      </w:r>
    </w:p>
    <w:p w14:paraId="3D3BD5FF" w14:textId="77777777" w:rsidR="00F03E03" w:rsidRPr="00444D48" w:rsidRDefault="004707AF" w:rsidP="008B7B4E">
      <w:pPr>
        <w:spacing w:line="264" w:lineRule="auto"/>
        <w:rPr>
          <w:rFonts w:ascii="Arial" w:hAnsi="Arial" w:cs="Arial"/>
          <w:sz w:val="23"/>
          <w:szCs w:val="23"/>
        </w:rPr>
      </w:pPr>
      <w:r w:rsidRPr="00444D48">
        <w:rPr>
          <w:rFonts w:ascii="Arial" w:hAnsi="Arial" w:cs="Arial"/>
          <w:sz w:val="23"/>
          <w:szCs w:val="23"/>
        </w:rPr>
        <w:t xml:space="preserve">Governments </w:t>
      </w:r>
      <w:r w:rsidR="00F03E03" w:rsidRPr="00444D48">
        <w:rPr>
          <w:rFonts w:ascii="Arial" w:hAnsi="Arial" w:cs="Arial"/>
          <w:sz w:val="23"/>
          <w:szCs w:val="23"/>
        </w:rPr>
        <w:t xml:space="preserve">will </w:t>
      </w:r>
      <w:r w:rsidRPr="00444D48">
        <w:rPr>
          <w:rFonts w:ascii="Arial" w:hAnsi="Arial" w:cs="Arial"/>
          <w:sz w:val="23"/>
          <w:szCs w:val="23"/>
        </w:rPr>
        <w:t xml:space="preserve">engage </w:t>
      </w:r>
      <w:r w:rsidR="00C97FFE" w:rsidRPr="00444D48">
        <w:rPr>
          <w:rFonts w:ascii="Arial" w:hAnsi="Arial" w:cs="Arial"/>
          <w:sz w:val="23"/>
          <w:szCs w:val="23"/>
        </w:rPr>
        <w:t xml:space="preserve">with the community to </w:t>
      </w:r>
      <w:r w:rsidR="00F03E03" w:rsidRPr="00444D48">
        <w:rPr>
          <w:rFonts w:ascii="Arial" w:hAnsi="Arial" w:cs="Arial"/>
          <w:sz w:val="23"/>
          <w:szCs w:val="23"/>
        </w:rPr>
        <w:t xml:space="preserve">develop a </w:t>
      </w:r>
      <w:r w:rsidR="00C97FFE" w:rsidRPr="00444D48">
        <w:rPr>
          <w:rFonts w:ascii="Arial" w:hAnsi="Arial" w:cs="Arial"/>
          <w:sz w:val="23"/>
          <w:szCs w:val="23"/>
        </w:rPr>
        <w:t xml:space="preserve">meaningful </w:t>
      </w:r>
      <w:r w:rsidR="00F03E03" w:rsidRPr="00444D48">
        <w:rPr>
          <w:rFonts w:ascii="Arial" w:hAnsi="Arial" w:cs="Arial"/>
          <w:sz w:val="23"/>
          <w:szCs w:val="23"/>
        </w:rPr>
        <w:t xml:space="preserve">framework for </w:t>
      </w:r>
      <w:r w:rsidR="00CF5400" w:rsidRPr="00444D48">
        <w:rPr>
          <w:rFonts w:ascii="Arial" w:hAnsi="Arial" w:cs="Arial"/>
          <w:sz w:val="23"/>
          <w:szCs w:val="23"/>
        </w:rPr>
        <w:t xml:space="preserve">transparently </w:t>
      </w:r>
      <w:r w:rsidR="00F03E03" w:rsidRPr="00444D48">
        <w:rPr>
          <w:rFonts w:ascii="Arial" w:hAnsi="Arial" w:cs="Arial"/>
          <w:sz w:val="23"/>
          <w:szCs w:val="23"/>
        </w:rPr>
        <w:t xml:space="preserve">tracking and reporting progress </w:t>
      </w:r>
      <w:r w:rsidR="00FA79A3" w:rsidRPr="00444D48">
        <w:rPr>
          <w:rFonts w:ascii="Arial" w:hAnsi="Arial" w:cs="Arial"/>
          <w:sz w:val="23"/>
          <w:szCs w:val="23"/>
        </w:rPr>
        <w:t xml:space="preserve">with Aboriginal </w:t>
      </w:r>
      <w:r w:rsidR="00FB0FA1" w:rsidRPr="00444D48">
        <w:rPr>
          <w:rFonts w:ascii="Arial" w:hAnsi="Arial" w:cs="Arial"/>
          <w:sz w:val="23"/>
          <w:szCs w:val="23"/>
        </w:rPr>
        <w:t xml:space="preserve">and Torres Strait Islander </w:t>
      </w:r>
      <w:r w:rsidR="00FA79A3" w:rsidRPr="00444D48">
        <w:rPr>
          <w:rFonts w:ascii="Arial" w:hAnsi="Arial" w:cs="Arial"/>
          <w:sz w:val="23"/>
          <w:szCs w:val="23"/>
        </w:rPr>
        <w:t>leaders</w:t>
      </w:r>
      <w:r w:rsidR="00AF5CD8" w:rsidRPr="00444D48">
        <w:rPr>
          <w:rFonts w:ascii="Arial" w:hAnsi="Arial" w:cs="Arial"/>
          <w:sz w:val="23"/>
          <w:szCs w:val="23"/>
        </w:rPr>
        <w:t>.</w:t>
      </w:r>
    </w:p>
    <w:p w14:paraId="3B8D6783" w14:textId="77777777" w:rsidR="007E4A13" w:rsidRPr="00444D48" w:rsidRDefault="007E4A13" w:rsidP="008B7B4E">
      <w:pPr>
        <w:spacing w:line="264" w:lineRule="auto"/>
        <w:rPr>
          <w:rFonts w:ascii="Arial" w:hAnsi="Arial" w:cs="Arial"/>
          <w:b/>
          <w:sz w:val="23"/>
          <w:szCs w:val="23"/>
        </w:rPr>
      </w:pPr>
      <w:r w:rsidRPr="00444D48">
        <w:rPr>
          <w:rFonts w:ascii="Arial" w:hAnsi="Arial" w:cs="Arial"/>
          <w:b/>
          <w:sz w:val="23"/>
          <w:szCs w:val="23"/>
        </w:rPr>
        <w:t>INDEPENDENT REVIEW</w:t>
      </w:r>
    </w:p>
    <w:p w14:paraId="3AC8D831" w14:textId="77777777" w:rsidR="00B00703" w:rsidRPr="00444D48" w:rsidRDefault="00B00703" w:rsidP="008B7B4E">
      <w:pPr>
        <w:spacing w:line="264" w:lineRule="auto"/>
        <w:rPr>
          <w:rFonts w:ascii="Arial" w:hAnsi="Arial" w:cs="Arial"/>
          <w:sz w:val="23"/>
          <w:szCs w:val="23"/>
        </w:rPr>
      </w:pPr>
      <w:r w:rsidRPr="00444D48">
        <w:rPr>
          <w:rFonts w:ascii="Arial" w:hAnsi="Arial" w:cs="Arial"/>
          <w:sz w:val="23"/>
          <w:szCs w:val="23"/>
        </w:rPr>
        <w:t>The Productivity Commission</w:t>
      </w:r>
      <w:r w:rsidR="003C36D7" w:rsidRPr="00444D48">
        <w:rPr>
          <w:rFonts w:ascii="Arial" w:hAnsi="Arial" w:cs="Arial"/>
          <w:sz w:val="23"/>
          <w:szCs w:val="23"/>
        </w:rPr>
        <w:t>’s Indigenous Commissioner</w:t>
      </w:r>
      <w:r w:rsidRPr="00444D48">
        <w:rPr>
          <w:rFonts w:ascii="Arial" w:hAnsi="Arial" w:cs="Arial"/>
          <w:sz w:val="23"/>
          <w:szCs w:val="23"/>
        </w:rPr>
        <w:t xml:space="preserve"> will conduct an independent</w:t>
      </w:r>
      <w:r w:rsidR="008F02AA" w:rsidRPr="00444D48">
        <w:rPr>
          <w:rFonts w:ascii="Arial" w:hAnsi="Arial" w:cs="Arial"/>
          <w:sz w:val="23"/>
          <w:szCs w:val="23"/>
        </w:rPr>
        <w:t xml:space="preserve"> </w:t>
      </w:r>
      <w:r w:rsidRPr="00444D48">
        <w:rPr>
          <w:rFonts w:ascii="Arial" w:hAnsi="Arial" w:cs="Arial"/>
          <w:sz w:val="23"/>
          <w:szCs w:val="23"/>
        </w:rPr>
        <w:t xml:space="preserve">review of progress nationally and in each jurisdiction every three years. </w:t>
      </w:r>
      <w:r w:rsidR="007E4A13" w:rsidRPr="00444D48">
        <w:rPr>
          <w:rFonts w:ascii="Arial" w:hAnsi="Arial" w:cs="Arial"/>
          <w:sz w:val="23"/>
          <w:szCs w:val="23"/>
        </w:rPr>
        <w:t xml:space="preserve">All governments will provide input into the Productivity Commission’s review, taking into account differences between urban, regional and remote areas. </w:t>
      </w:r>
    </w:p>
    <w:p w14:paraId="461AB434" w14:textId="77777777" w:rsidR="00811042" w:rsidRPr="00444D48" w:rsidRDefault="00B00703" w:rsidP="008B7B4E">
      <w:pPr>
        <w:spacing w:line="264" w:lineRule="auto"/>
        <w:rPr>
          <w:rFonts w:ascii="Arial" w:hAnsi="Arial" w:cs="Arial"/>
          <w:sz w:val="23"/>
          <w:szCs w:val="23"/>
        </w:rPr>
      </w:pPr>
      <w:r w:rsidRPr="00444D48">
        <w:rPr>
          <w:rFonts w:ascii="Arial" w:hAnsi="Arial" w:cs="Arial"/>
          <w:sz w:val="23"/>
          <w:szCs w:val="23"/>
        </w:rPr>
        <w:t xml:space="preserve">The Closing </w:t>
      </w:r>
      <w:r w:rsidR="00D01F1B" w:rsidRPr="00444D48">
        <w:rPr>
          <w:rFonts w:ascii="Arial" w:hAnsi="Arial" w:cs="Arial"/>
          <w:sz w:val="23"/>
          <w:szCs w:val="23"/>
        </w:rPr>
        <w:t>the G</w:t>
      </w:r>
      <w:r w:rsidRPr="00444D48">
        <w:rPr>
          <w:rFonts w:ascii="Arial" w:hAnsi="Arial" w:cs="Arial"/>
          <w:sz w:val="23"/>
          <w:szCs w:val="23"/>
        </w:rPr>
        <w:t>ap t</w:t>
      </w:r>
      <w:r w:rsidR="007E4A13" w:rsidRPr="00444D48">
        <w:rPr>
          <w:rFonts w:ascii="Arial" w:hAnsi="Arial" w:cs="Arial"/>
          <w:sz w:val="23"/>
          <w:szCs w:val="23"/>
        </w:rPr>
        <w:t xml:space="preserve">argets </w:t>
      </w:r>
      <w:r w:rsidR="001603D2" w:rsidRPr="00444D48">
        <w:rPr>
          <w:rFonts w:ascii="Arial" w:hAnsi="Arial" w:cs="Arial"/>
          <w:sz w:val="23"/>
          <w:szCs w:val="23"/>
        </w:rPr>
        <w:t xml:space="preserve">may be subject to refinement, where appropriate, through the review of the </w:t>
      </w:r>
      <w:r w:rsidR="00BB28D9" w:rsidRPr="00444D48">
        <w:rPr>
          <w:rFonts w:ascii="Arial" w:hAnsi="Arial" w:cs="Arial"/>
          <w:sz w:val="23"/>
          <w:szCs w:val="23"/>
        </w:rPr>
        <w:t xml:space="preserve">NIRA </w:t>
      </w:r>
      <w:r w:rsidR="001603D2" w:rsidRPr="00444D48">
        <w:rPr>
          <w:rFonts w:ascii="Arial" w:hAnsi="Arial" w:cs="Arial"/>
          <w:sz w:val="23"/>
          <w:szCs w:val="23"/>
        </w:rPr>
        <w:t>and periodic Productivity Commission reviews.</w:t>
      </w:r>
      <w:r w:rsidR="001603D2" w:rsidRPr="00444D48" w:rsidDel="007B36E4">
        <w:rPr>
          <w:rFonts w:ascii="Arial" w:hAnsi="Arial" w:cs="Arial"/>
          <w:sz w:val="23"/>
          <w:szCs w:val="23"/>
        </w:rPr>
        <w:t xml:space="preserve"> </w:t>
      </w:r>
    </w:p>
    <w:p w14:paraId="09801805" w14:textId="77777777" w:rsidR="004073EB" w:rsidRPr="00444D48" w:rsidRDefault="00443ED5" w:rsidP="008B7B4E">
      <w:pPr>
        <w:spacing w:line="264" w:lineRule="auto"/>
        <w:rPr>
          <w:rFonts w:ascii="Arial" w:hAnsi="Arial" w:cs="Arial"/>
          <w:b/>
          <w:sz w:val="23"/>
          <w:szCs w:val="23"/>
        </w:rPr>
      </w:pPr>
      <w:r w:rsidRPr="00444D48">
        <w:rPr>
          <w:rFonts w:ascii="Arial" w:hAnsi="Arial" w:cs="Arial"/>
          <w:b/>
          <w:sz w:val="23"/>
          <w:szCs w:val="23"/>
        </w:rPr>
        <w:t>WHERE WE ARE GOING FROM HERE</w:t>
      </w:r>
    </w:p>
    <w:p w14:paraId="1226253A" w14:textId="77777777" w:rsidR="00444D48" w:rsidRPr="00444D48" w:rsidRDefault="00444D48" w:rsidP="008B7B4E">
      <w:pPr>
        <w:spacing w:line="264" w:lineRule="auto"/>
        <w:rPr>
          <w:rFonts w:ascii="Arial" w:hAnsi="Arial" w:cs="Arial"/>
          <w:sz w:val="23"/>
          <w:szCs w:val="23"/>
        </w:rPr>
      </w:pPr>
      <w:r w:rsidRPr="00444D48">
        <w:rPr>
          <w:rFonts w:ascii="Arial" w:hAnsi="Arial" w:cs="Arial"/>
          <w:sz w:val="23"/>
          <w:szCs w:val="23"/>
        </w:rPr>
        <w:t xml:space="preserve">A new formal partnership with Aboriginal and Torres Strait Islander peoples, through their representatives, </w:t>
      </w:r>
      <w:r>
        <w:rPr>
          <w:rFonts w:ascii="Arial" w:hAnsi="Arial" w:cs="Arial"/>
          <w:sz w:val="23"/>
          <w:szCs w:val="23"/>
        </w:rPr>
        <w:t xml:space="preserve">will be established by </w:t>
      </w:r>
      <w:r w:rsidR="0086395D">
        <w:rPr>
          <w:rFonts w:ascii="Arial" w:hAnsi="Arial" w:cs="Arial"/>
          <w:sz w:val="23"/>
          <w:szCs w:val="23"/>
        </w:rPr>
        <w:t xml:space="preserve">the end of </w:t>
      </w:r>
      <w:r>
        <w:rPr>
          <w:rFonts w:ascii="Arial" w:hAnsi="Arial" w:cs="Arial"/>
          <w:sz w:val="23"/>
          <w:szCs w:val="23"/>
        </w:rPr>
        <w:t>February 2019.</w:t>
      </w:r>
    </w:p>
    <w:p w14:paraId="5C6ED864" w14:textId="77777777" w:rsidR="00997823" w:rsidRPr="00444D48" w:rsidRDefault="00997823" w:rsidP="008B7B4E">
      <w:pPr>
        <w:spacing w:line="264" w:lineRule="auto"/>
        <w:rPr>
          <w:rFonts w:ascii="Arial" w:hAnsi="Arial" w:cs="Arial"/>
          <w:sz w:val="23"/>
          <w:szCs w:val="23"/>
        </w:rPr>
      </w:pPr>
      <w:r w:rsidRPr="00444D48">
        <w:rPr>
          <w:rFonts w:ascii="Arial" w:hAnsi="Arial" w:cs="Arial"/>
          <w:sz w:val="23"/>
          <w:szCs w:val="23"/>
        </w:rPr>
        <w:t xml:space="preserve">Building on the work undertaken to date, </w:t>
      </w:r>
      <w:r w:rsidR="00444D48" w:rsidRPr="00444D48">
        <w:rPr>
          <w:rFonts w:ascii="Arial" w:hAnsi="Arial" w:cs="Arial"/>
          <w:sz w:val="23"/>
          <w:szCs w:val="23"/>
        </w:rPr>
        <w:t xml:space="preserve">working through </w:t>
      </w:r>
      <w:r w:rsidR="00444D48">
        <w:rPr>
          <w:rFonts w:ascii="Arial" w:hAnsi="Arial" w:cs="Arial"/>
          <w:sz w:val="23"/>
          <w:szCs w:val="23"/>
        </w:rPr>
        <w:t>this</w:t>
      </w:r>
      <w:r w:rsidR="00444D48" w:rsidRPr="00444D48">
        <w:rPr>
          <w:rFonts w:ascii="Arial" w:hAnsi="Arial" w:cs="Arial"/>
          <w:sz w:val="23"/>
          <w:szCs w:val="23"/>
        </w:rPr>
        <w:t xml:space="preserve"> new partnership, </w:t>
      </w:r>
      <w:r w:rsidRPr="00444D48">
        <w:rPr>
          <w:rFonts w:ascii="Arial" w:hAnsi="Arial" w:cs="Arial"/>
          <w:sz w:val="23"/>
          <w:szCs w:val="23"/>
        </w:rPr>
        <w:t>the Commonwealth, and states and territories</w:t>
      </w:r>
      <w:r w:rsidR="00444D48" w:rsidRPr="00444D48">
        <w:rPr>
          <w:rFonts w:ascii="Arial" w:hAnsi="Arial" w:cs="Arial"/>
          <w:sz w:val="23"/>
          <w:szCs w:val="23"/>
        </w:rPr>
        <w:t xml:space="preserve">, </w:t>
      </w:r>
      <w:r w:rsidRPr="00444D48">
        <w:rPr>
          <w:rFonts w:ascii="Arial" w:hAnsi="Arial" w:cs="Arial"/>
          <w:sz w:val="23"/>
          <w:szCs w:val="23"/>
        </w:rPr>
        <w:t>will</w:t>
      </w:r>
      <w:r w:rsidR="0086395D">
        <w:rPr>
          <w:rFonts w:ascii="Arial" w:hAnsi="Arial" w:cs="Arial"/>
          <w:sz w:val="23"/>
          <w:szCs w:val="23"/>
        </w:rPr>
        <w:t xml:space="preserve"> </w:t>
      </w:r>
      <w:r w:rsidR="0086395D" w:rsidRPr="00444D48">
        <w:rPr>
          <w:rFonts w:ascii="Arial" w:hAnsi="Arial" w:cs="Arial"/>
          <w:sz w:val="23"/>
          <w:szCs w:val="23"/>
        </w:rPr>
        <w:t>by mid 2019</w:t>
      </w:r>
      <w:r w:rsidRPr="00444D48">
        <w:rPr>
          <w:rFonts w:ascii="Arial" w:hAnsi="Arial" w:cs="Arial"/>
          <w:sz w:val="23"/>
          <w:szCs w:val="23"/>
        </w:rPr>
        <w:t>:</w:t>
      </w:r>
    </w:p>
    <w:p w14:paraId="2370689E" w14:textId="77777777" w:rsidR="002C0AFB" w:rsidRPr="00444D48" w:rsidRDefault="002C0AFB" w:rsidP="008B7B4E">
      <w:pPr>
        <w:pStyle w:val="ListParagraph"/>
        <w:numPr>
          <w:ilvl w:val="0"/>
          <w:numId w:val="20"/>
        </w:numPr>
        <w:spacing w:line="264" w:lineRule="auto"/>
        <w:rPr>
          <w:rFonts w:ascii="Arial" w:hAnsi="Arial" w:cs="Arial"/>
          <w:sz w:val="23"/>
          <w:szCs w:val="23"/>
        </w:rPr>
      </w:pPr>
      <w:r w:rsidRPr="00444D48">
        <w:rPr>
          <w:rFonts w:ascii="Arial" w:hAnsi="Arial" w:cs="Arial"/>
          <w:sz w:val="23"/>
          <w:szCs w:val="23"/>
        </w:rPr>
        <w:t>final</w:t>
      </w:r>
      <w:r w:rsidR="00431A83" w:rsidRPr="00444D48">
        <w:rPr>
          <w:rFonts w:ascii="Arial" w:hAnsi="Arial" w:cs="Arial"/>
          <w:sz w:val="23"/>
          <w:szCs w:val="23"/>
        </w:rPr>
        <w:t>i</w:t>
      </w:r>
      <w:r w:rsidRPr="00444D48">
        <w:rPr>
          <w:rFonts w:ascii="Arial" w:hAnsi="Arial" w:cs="Arial"/>
          <w:sz w:val="23"/>
          <w:szCs w:val="23"/>
        </w:rPr>
        <w:t>se all draft targets;</w:t>
      </w:r>
    </w:p>
    <w:p w14:paraId="2A6A4BA4" w14:textId="77777777" w:rsidR="00997823" w:rsidRPr="00452AC5" w:rsidRDefault="00997823" w:rsidP="00452AC5">
      <w:pPr>
        <w:pStyle w:val="ListParagraph"/>
        <w:numPr>
          <w:ilvl w:val="0"/>
          <w:numId w:val="20"/>
        </w:numPr>
        <w:spacing w:line="264" w:lineRule="auto"/>
        <w:rPr>
          <w:rFonts w:ascii="Arial" w:hAnsi="Arial" w:cs="Arial"/>
          <w:sz w:val="23"/>
          <w:szCs w:val="23"/>
        </w:rPr>
      </w:pPr>
      <w:r w:rsidRPr="00452AC5">
        <w:rPr>
          <w:rFonts w:ascii="Arial" w:hAnsi="Arial" w:cs="Arial"/>
          <w:sz w:val="23"/>
          <w:szCs w:val="23"/>
        </w:rPr>
        <w:t xml:space="preserve">review the </w:t>
      </w:r>
      <w:r w:rsidR="00BB28D9" w:rsidRPr="00452AC5">
        <w:rPr>
          <w:rFonts w:ascii="Arial" w:hAnsi="Arial" w:cs="Arial"/>
          <w:sz w:val="23"/>
          <w:szCs w:val="23"/>
        </w:rPr>
        <w:t>NIRA</w:t>
      </w:r>
      <w:r w:rsidRPr="00452AC5">
        <w:rPr>
          <w:rFonts w:ascii="Arial" w:hAnsi="Arial" w:cs="Arial"/>
          <w:sz w:val="23"/>
          <w:szCs w:val="23"/>
        </w:rPr>
        <w:t>; and</w:t>
      </w:r>
    </w:p>
    <w:p w14:paraId="4AE4AF0A" w14:textId="77777777" w:rsidR="005873B2" w:rsidRPr="00444D48" w:rsidRDefault="00997823" w:rsidP="008B7B4E">
      <w:pPr>
        <w:pStyle w:val="ListParagraph"/>
        <w:numPr>
          <w:ilvl w:val="0"/>
          <w:numId w:val="20"/>
        </w:numPr>
        <w:spacing w:line="264" w:lineRule="auto"/>
        <w:rPr>
          <w:rFonts w:ascii="Arial" w:hAnsi="Arial" w:cs="Arial"/>
          <w:sz w:val="23"/>
          <w:szCs w:val="23"/>
        </w:rPr>
      </w:pPr>
      <w:r w:rsidRPr="00444D48">
        <w:rPr>
          <w:rFonts w:ascii="Arial" w:hAnsi="Arial" w:cs="Arial"/>
          <w:sz w:val="23"/>
          <w:szCs w:val="23"/>
        </w:rPr>
        <w:t>work with the Productivity Commission’s Indigenous Commissioner to develop an independent, Aboriginal</w:t>
      </w:r>
      <w:r w:rsidR="00EC0385" w:rsidRPr="00444D48">
        <w:rPr>
          <w:rFonts w:ascii="Arial" w:hAnsi="Arial" w:cs="Arial"/>
          <w:sz w:val="23"/>
          <w:szCs w:val="23"/>
        </w:rPr>
        <w:t xml:space="preserve"> and Torres Strait Islander</w:t>
      </w:r>
      <w:r w:rsidR="003C36D7" w:rsidRPr="00444D48">
        <w:rPr>
          <w:rFonts w:ascii="Arial" w:hAnsi="Arial" w:cs="Arial"/>
          <w:sz w:val="23"/>
          <w:szCs w:val="23"/>
        </w:rPr>
        <w:t>-</w:t>
      </w:r>
      <w:r w:rsidRPr="00444D48">
        <w:rPr>
          <w:rFonts w:ascii="Arial" w:hAnsi="Arial" w:cs="Arial"/>
          <w:sz w:val="23"/>
          <w:szCs w:val="23"/>
        </w:rPr>
        <w:t xml:space="preserve">led approach to </w:t>
      </w:r>
      <w:r w:rsidR="003C36D7" w:rsidRPr="00444D48">
        <w:rPr>
          <w:rFonts w:ascii="Arial" w:hAnsi="Arial" w:cs="Arial"/>
          <w:sz w:val="23"/>
          <w:szCs w:val="23"/>
        </w:rPr>
        <w:t>the three-yearly</w:t>
      </w:r>
      <w:r w:rsidRPr="00444D48">
        <w:rPr>
          <w:rFonts w:ascii="Arial" w:hAnsi="Arial" w:cs="Arial"/>
          <w:sz w:val="23"/>
          <w:szCs w:val="23"/>
        </w:rPr>
        <w:t xml:space="preserve"> comprehensive evaluation and review of progress nationally and in each jurisdiction. </w:t>
      </w:r>
    </w:p>
    <w:p w14:paraId="421BF204" w14:textId="77777777" w:rsidR="00021174" w:rsidRPr="00444D48" w:rsidRDefault="00F87378" w:rsidP="008B7B4E">
      <w:pPr>
        <w:spacing w:line="264" w:lineRule="auto"/>
        <w:rPr>
          <w:rFonts w:ascii="Arial" w:hAnsi="Arial" w:cs="Arial"/>
          <w:sz w:val="23"/>
          <w:szCs w:val="23"/>
        </w:rPr>
      </w:pPr>
      <w:r w:rsidRPr="00444D48">
        <w:rPr>
          <w:rFonts w:ascii="Arial" w:hAnsi="Arial" w:cs="Arial"/>
          <w:sz w:val="23"/>
          <w:szCs w:val="23"/>
        </w:rPr>
        <w:t>One of the lessons governments have learned over the last ten years is that effective programs and services need to be designed, developed and implemented in partnership with</w:t>
      </w:r>
      <w:r w:rsidR="006D0D1F" w:rsidRPr="00444D48">
        <w:rPr>
          <w:rFonts w:ascii="Arial" w:hAnsi="Arial" w:cs="Arial"/>
          <w:sz w:val="23"/>
          <w:szCs w:val="23"/>
        </w:rPr>
        <w:t xml:space="preserve"> </w:t>
      </w:r>
      <w:r w:rsidRPr="00444D48">
        <w:rPr>
          <w:rFonts w:ascii="Arial" w:hAnsi="Arial" w:cs="Arial"/>
          <w:sz w:val="23"/>
          <w:szCs w:val="23"/>
        </w:rPr>
        <w:t>Aboriginal and Torres Strait Islander people</w:t>
      </w:r>
      <w:r w:rsidR="00723E56" w:rsidRPr="00444D48">
        <w:rPr>
          <w:rFonts w:ascii="Arial" w:hAnsi="Arial" w:cs="Arial"/>
          <w:sz w:val="23"/>
          <w:szCs w:val="23"/>
        </w:rPr>
        <w:t>s</w:t>
      </w:r>
      <w:r w:rsidRPr="00444D48">
        <w:rPr>
          <w:rFonts w:ascii="Arial" w:hAnsi="Arial" w:cs="Arial"/>
          <w:sz w:val="23"/>
          <w:szCs w:val="23"/>
        </w:rPr>
        <w:t xml:space="preserve">. We must place </w:t>
      </w:r>
      <w:r w:rsidR="00FA0E07" w:rsidRPr="00444D48">
        <w:rPr>
          <w:rFonts w:ascii="Arial" w:hAnsi="Arial" w:cs="Arial"/>
          <w:sz w:val="23"/>
          <w:szCs w:val="23"/>
        </w:rPr>
        <w:t>collaboration</w:t>
      </w:r>
      <w:r w:rsidRPr="00444D48">
        <w:rPr>
          <w:rFonts w:ascii="Arial" w:hAnsi="Arial" w:cs="Arial"/>
          <w:sz w:val="23"/>
          <w:szCs w:val="23"/>
        </w:rPr>
        <w:t xml:space="preserve">, transparency, and accountability at the centre of the way we do business with </w:t>
      </w:r>
      <w:r w:rsidR="00C57D8D" w:rsidRPr="00444D48">
        <w:rPr>
          <w:rFonts w:ascii="Arial" w:hAnsi="Arial" w:cs="Arial"/>
          <w:sz w:val="23"/>
          <w:szCs w:val="23"/>
        </w:rPr>
        <w:t xml:space="preserve">Aboriginal and Torres Strait Islander </w:t>
      </w:r>
      <w:r w:rsidRPr="00444D48">
        <w:rPr>
          <w:rFonts w:ascii="Arial" w:hAnsi="Arial" w:cs="Arial"/>
          <w:sz w:val="23"/>
          <w:szCs w:val="23"/>
        </w:rPr>
        <w:t>Australia. Working in genuine partnership with Aboriginal and Torres Strait Islander people</w:t>
      </w:r>
      <w:r w:rsidR="00723E56" w:rsidRPr="00444D48">
        <w:rPr>
          <w:rFonts w:ascii="Arial" w:hAnsi="Arial" w:cs="Arial"/>
          <w:sz w:val="23"/>
          <w:szCs w:val="23"/>
        </w:rPr>
        <w:t>s</w:t>
      </w:r>
      <w:r w:rsidRPr="00444D48">
        <w:rPr>
          <w:rFonts w:ascii="Arial" w:hAnsi="Arial" w:cs="Arial"/>
          <w:sz w:val="23"/>
          <w:szCs w:val="23"/>
        </w:rPr>
        <w:t xml:space="preserve"> is fundamental to Closing the Gap. </w:t>
      </w:r>
    </w:p>
    <w:p w14:paraId="4520660F" w14:textId="77777777" w:rsidR="00F87378" w:rsidRPr="00444D48" w:rsidRDefault="00F87378" w:rsidP="008B7B4E">
      <w:pPr>
        <w:spacing w:line="264" w:lineRule="auto"/>
        <w:rPr>
          <w:rFonts w:ascii="Arial" w:hAnsi="Arial" w:cs="Arial"/>
          <w:sz w:val="23"/>
          <w:szCs w:val="23"/>
        </w:rPr>
      </w:pPr>
      <w:r w:rsidRPr="00444D48">
        <w:rPr>
          <w:rFonts w:ascii="Arial" w:hAnsi="Arial" w:cs="Arial"/>
          <w:sz w:val="23"/>
          <w:szCs w:val="23"/>
        </w:rPr>
        <w:t>All governments are committed to broadening and deepening their partnerships with Aboriginal and Torres Strait Islander people</w:t>
      </w:r>
      <w:r w:rsidR="00723E56" w:rsidRPr="00444D48">
        <w:rPr>
          <w:rFonts w:ascii="Arial" w:hAnsi="Arial" w:cs="Arial"/>
          <w:sz w:val="23"/>
          <w:szCs w:val="23"/>
        </w:rPr>
        <w:t>s</w:t>
      </w:r>
      <w:r w:rsidRPr="00444D48">
        <w:rPr>
          <w:rFonts w:ascii="Arial" w:hAnsi="Arial" w:cs="Arial"/>
          <w:sz w:val="23"/>
          <w:szCs w:val="23"/>
        </w:rPr>
        <w:t xml:space="preserve"> and communities over the lifetime of the refreshed agenda</w:t>
      </w:r>
      <w:r w:rsidR="00A17A51" w:rsidRPr="00444D48">
        <w:rPr>
          <w:rFonts w:ascii="Arial" w:hAnsi="Arial" w:cs="Arial"/>
          <w:sz w:val="23"/>
          <w:szCs w:val="23"/>
        </w:rPr>
        <w:t>.</w:t>
      </w:r>
      <w:r w:rsidRPr="00444D48">
        <w:rPr>
          <w:rFonts w:ascii="Arial" w:hAnsi="Arial" w:cs="Arial"/>
          <w:sz w:val="23"/>
          <w:szCs w:val="23"/>
        </w:rPr>
        <w:t xml:space="preserve"> This includes strengthening mechanisms to ensure Aboriginal and Torres Strait Islander people</w:t>
      </w:r>
      <w:r w:rsidR="00723E56" w:rsidRPr="00444D48">
        <w:rPr>
          <w:rFonts w:ascii="Arial" w:hAnsi="Arial" w:cs="Arial"/>
          <w:sz w:val="23"/>
          <w:szCs w:val="23"/>
        </w:rPr>
        <w:t>s</w:t>
      </w:r>
      <w:r w:rsidRPr="00444D48">
        <w:rPr>
          <w:rFonts w:ascii="Arial" w:hAnsi="Arial" w:cs="Arial"/>
          <w:sz w:val="23"/>
          <w:szCs w:val="23"/>
        </w:rPr>
        <w:t xml:space="preserve"> </w:t>
      </w:r>
      <w:r w:rsidR="006D0D1F" w:rsidRPr="00444D48">
        <w:rPr>
          <w:rFonts w:ascii="Arial" w:hAnsi="Arial" w:cs="Arial"/>
          <w:sz w:val="23"/>
          <w:szCs w:val="23"/>
        </w:rPr>
        <w:t xml:space="preserve">have </w:t>
      </w:r>
      <w:r w:rsidRPr="00444D48">
        <w:rPr>
          <w:rFonts w:ascii="Arial" w:hAnsi="Arial" w:cs="Arial"/>
          <w:sz w:val="23"/>
          <w:szCs w:val="23"/>
        </w:rPr>
        <w:t xml:space="preserve">an integral role in decision making and accountability processes at the national, regional and local levels, building on existing arrangements and directions within different jurisdictions. </w:t>
      </w:r>
    </w:p>
    <w:p w14:paraId="06F828CA" w14:textId="77777777" w:rsidR="00EA03E1" w:rsidRPr="00444D48" w:rsidRDefault="000C5C69" w:rsidP="008B7B4E">
      <w:pPr>
        <w:spacing w:line="264" w:lineRule="auto"/>
        <w:rPr>
          <w:rFonts w:ascii="Arial" w:hAnsi="Arial" w:cs="Arial"/>
          <w:sz w:val="23"/>
          <w:szCs w:val="23"/>
        </w:rPr>
      </w:pPr>
      <w:r w:rsidRPr="00444D48">
        <w:rPr>
          <w:rFonts w:ascii="Arial" w:hAnsi="Arial" w:cs="Arial"/>
          <w:sz w:val="23"/>
          <w:szCs w:val="23"/>
        </w:rPr>
        <w:t>To</w:t>
      </w:r>
      <w:r w:rsidR="001B2832" w:rsidRPr="00444D48">
        <w:rPr>
          <w:rFonts w:ascii="Arial" w:hAnsi="Arial" w:cs="Arial"/>
          <w:sz w:val="23"/>
          <w:szCs w:val="23"/>
        </w:rPr>
        <w:t xml:space="preserve"> guide the development of Commonwealth, </w:t>
      </w:r>
      <w:r w:rsidR="005B475C" w:rsidRPr="00444D48">
        <w:rPr>
          <w:rFonts w:ascii="Arial" w:hAnsi="Arial" w:cs="Arial"/>
          <w:sz w:val="23"/>
          <w:szCs w:val="23"/>
        </w:rPr>
        <w:t>s</w:t>
      </w:r>
      <w:r w:rsidR="001B2832" w:rsidRPr="00444D48">
        <w:rPr>
          <w:rFonts w:ascii="Arial" w:hAnsi="Arial" w:cs="Arial"/>
          <w:sz w:val="23"/>
          <w:szCs w:val="23"/>
        </w:rPr>
        <w:t xml:space="preserve">tate and </w:t>
      </w:r>
      <w:r w:rsidR="005B475C" w:rsidRPr="00444D48">
        <w:rPr>
          <w:rFonts w:ascii="Arial" w:hAnsi="Arial" w:cs="Arial"/>
          <w:sz w:val="23"/>
          <w:szCs w:val="23"/>
        </w:rPr>
        <w:t>t</w:t>
      </w:r>
      <w:r w:rsidR="001B2832" w:rsidRPr="00444D48">
        <w:rPr>
          <w:rFonts w:ascii="Arial" w:hAnsi="Arial" w:cs="Arial"/>
          <w:sz w:val="23"/>
          <w:szCs w:val="23"/>
        </w:rPr>
        <w:t>erritory action plans</w:t>
      </w:r>
      <w:r w:rsidR="00452AC5">
        <w:rPr>
          <w:rFonts w:ascii="Arial" w:hAnsi="Arial" w:cs="Arial"/>
          <w:sz w:val="23"/>
          <w:szCs w:val="23"/>
        </w:rPr>
        <w:t xml:space="preserve"> by mid-2019</w:t>
      </w:r>
      <w:r w:rsidR="001B2832" w:rsidRPr="00444D48">
        <w:rPr>
          <w:rFonts w:ascii="Arial" w:hAnsi="Arial" w:cs="Arial"/>
          <w:sz w:val="23"/>
          <w:szCs w:val="23"/>
        </w:rPr>
        <w:t xml:space="preserve">, </w:t>
      </w:r>
      <w:r w:rsidR="00A722D3" w:rsidRPr="00444D48">
        <w:rPr>
          <w:rFonts w:ascii="Arial" w:hAnsi="Arial" w:cs="Arial"/>
          <w:sz w:val="23"/>
          <w:szCs w:val="23"/>
        </w:rPr>
        <w:t xml:space="preserve">COAG </w:t>
      </w:r>
      <w:r w:rsidR="000F1EEA" w:rsidRPr="00444D48">
        <w:rPr>
          <w:rFonts w:ascii="Arial" w:hAnsi="Arial" w:cs="Arial"/>
          <w:sz w:val="23"/>
          <w:szCs w:val="23"/>
        </w:rPr>
        <w:t>has endorsed a set of</w:t>
      </w:r>
      <w:r w:rsidR="00A722D3" w:rsidRPr="00444D48">
        <w:rPr>
          <w:rFonts w:ascii="Arial" w:hAnsi="Arial" w:cs="Arial"/>
          <w:sz w:val="23"/>
          <w:szCs w:val="23"/>
        </w:rPr>
        <w:t xml:space="preserve"> </w:t>
      </w:r>
      <w:r w:rsidR="008F6F0A" w:rsidRPr="00444D48">
        <w:rPr>
          <w:rFonts w:ascii="Arial" w:hAnsi="Arial" w:cs="Arial"/>
          <w:i/>
          <w:sz w:val="23"/>
          <w:szCs w:val="23"/>
        </w:rPr>
        <w:t>I</w:t>
      </w:r>
      <w:r w:rsidR="00010548" w:rsidRPr="00444D48">
        <w:rPr>
          <w:rFonts w:ascii="Arial" w:hAnsi="Arial" w:cs="Arial"/>
          <w:i/>
          <w:sz w:val="23"/>
          <w:szCs w:val="23"/>
        </w:rPr>
        <w:t xml:space="preserve">mplementation </w:t>
      </w:r>
      <w:r w:rsidR="008F6F0A" w:rsidRPr="00444D48">
        <w:rPr>
          <w:rFonts w:ascii="Arial" w:hAnsi="Arial" w:cs="Arial"/>
          <w:i/>
          <w:sz w:val="23"/>
          <w:szCs w:val="23"/>
        </w:rPr>
        <w:t>P</w:t>
      </w:r>
      <w:r w:rsidR="00A722D3" w:rsidRPr="00444D48">
        <w:rPr>
          <w:rFonts w:ascii="Arial" w:hAnsi="Arial" w:cs="Arial"/>
          <w:i/>
          <w:sz w:val="23"/>
          <w:szCs w:val="23"/>
        </w:rPr>
        <w:t>rinciples</w:t>
      </w:r>
      <w:r w:rsidR="00A722D3" w:rsidRPr="00444D48">
        <w:rPr>
          <w:rFonts w:ascii="Arial" w:hAnsi="Arial" w:cs="Arial"/>
          <w:sz w:val="23"/>
          <w:szCs w:val="23"/>
        </w:rPr>
        <w:t xml:space="preserve"> </w:t>
      </w:r>
      <w:r w:rsidR="001603D2" w:rsidRPr="00444D48">
        <w:rPr>
          <w:rFonts w:ascii="Arial" w:hAnsi="Arial" w:cs="Arial"/>
          <w:sz w:val="23"/>
          <w:szCs w:val="23"/>
        </w:rPr>
        <w:t xml:space="preserve">informed </w:t>
      </w:r>
      <w:r w:rsidR="000F1EEA" w:rsidRPr="00444D48">
        <w:rPr>
          <w:rFonts w:ascii="Arial" w:hAnsi="Arial" w:cs="Arial"/>
          <w:sz w:val="23"/>
          <w:szCs w:val="23"/>
        </w:rPr>
        <w:t>by Aboriginal and Torres Strait Islander communities</w:t>
      </w:r>
      <w:r w:rsidR="00010548" w:rsidRPr="00444D48">
        <w:rPr>
          <w:rFonts w:ascii="Arial" w:hAnsi="Arial" w:cs="Arial"/>
          <w:sz w:val="23"/>
          <w:szCs w:val="23"/>
        </w:rPr>
        <w:t>:</w:t>
      </w:r>
    </w:p>
    <w:p w14:paraId="794190F7" w14:textId="77777777" w:rsidR="00010548" w:rsidRPr="00444D48" w:rsidRDefault="00010548" w:rsidP="008B7B4E">
      <w:pPr>
        <w:spacing w:line="264" w:lineRule="auto"/>
        <w:ind w:left="720"/>
        <w:rPr>
          <w:rFonts w:ascii="Arial" w:hAnsi="Arial" w:cs="Arial"/>
          <w:sz w:val="23"/>
          <w:szCs w:val="23"/>
        </w:rPr>
      </w:pPr>
      <w:r w:rsidRPr="00444D48">
        <w:rPr>
          <w:rFonts w:ascii="Arial" w:hAnsi="Arial" w:cs="Arial"/>
          <w:b/>
          <w:bCs/>
          <w:sz w:val="23"/>
          <w:szCs w:val="23"/>
        </w:rPr>
        <w:t>Shared Decision-Making</w:t>
      </w:r>
      <w:r w:rsidRPr="00444D48">
        <w:rPr>
          <w:rFonts w:ascii="Arial" w:hAnsi="Arial" w:cs="Arial"/>
          <w:sz w:val="23"/>
          <w:szCs w:val="23"/>
        </w:rPr>
        <w:t xml:space="preserve"> – </w:t>
      </w:r>
      <w:r w:rsidR="000F1EEA" w:rsidRPr="00444D48">
        <w:rPr>
          <w:rFonts w:ascii="Arial" w:hAnsi="Arial" w:cs="Arial"/>
          <w:sz w:val="23"/>
          <w:szCs w:val="23"/>
        </w:rPr>
        <w:t xml:space="preserve">Implementation of the Closing the Gap framework, and the policy actions that fall out of it, must be undertaken in partnership with Aboriginal and Torres Strait Islander peoples. </w:t>
      </w:r>
      <w:r w:rsidRPr="00444D48">
        <w:rPr>
          <w:rFonts w:ascii="Arial" w:hAnsi="Arial" w:cs="Arial"/>
          <w:sz w:val="23"/>
          <w:szCs w:val="23"/>
        </w:rPr>
        <w:t>Governments and communities should build their capability to work in</w:t>
      </w:r>
      <w:r w:rsidR="006D0D1F" w:rsidRPr="00444D48">
        <w:rPr>
          <w:rFonts w:ascii="Arial" w:hAnsi="Arial" w:cs="Arial"/>
          <w:sz w:val="23"/>
          <w:szCs w:val="23"/>
        </w:rPr>
        <w:t xml:space="preserve"> collaboration and form </w:t>
      </w:r>
      <w:r w:rsidRPr="00444D48">
        <w:rPr>
          <w:rFonts w:ascii="Arial" w:hAnsi="Arial" w:cs="Arial"/>
          <w:sz w:val="23"/>
          <w:szCs w:val="23"/>
        </w:rPr>
        <w:t xml:space="preserve">strong, genuine partnerships </w:t>
      </w:r>
      <w:r w:rsidR="00E32C59" w:rsidRPr="00444D48">
        <w:rPr>
          <w:rFonts w:ascii="Arial" w:hAnsi="Arial" w:cs="Arial"/>
          <w:sz w:val="23"/>
          <w:szCs w:val="23"/>
        </w:rPr>
        <w:t>in which</w:t>
      </w:r>
      <w:r w:rsidRPr="00444D48">
        <w:rPr>
          <w:rFonts w:ascii="Arial" w:hAnsi="Arial" w:cs="Arial"/>
          <w:sz w:val="23"/>
          <w:szCs w:val="23"/>
        </w:rPr>
        <w:t xml:space="preserve"> </w:t>
      </w:r>
      <w:r w:rsidRPr="00444D48">
        <w:rPr>
          <w:rFonts w:ascii="Arial" w:hAnsi="Arial" w:cs="Arial"/>
          <w:sz w:val="23"/>
          <w:szCs w:val="23"/>
        </w:rPr>
        <w:lastRenderedPageBreak/>
        <w:t>Aboriginal and Torres Strait Islander people</w:t>
      </w:r>
      <w:r w:rsidR="006D0D1F" w:rsidRPr="00444D48">
        <w:rPr>
          <w:rFonts w:ascii="Arial" w:hAnsi="Arial" w:cs="Arial"/>
          <w:sz w:val="23"/>
          <w:szCs w:val="23"/>
        </w:rPr>
        <w:t>s</w:t>
      </w:r>
      <w:r w:rsidRPr="00444D48">
        <w:rPr>
          <w:rFonts w:ascii="Arial" w:hAnsi="Arial" w:cs="Arial"/>
          <w:sz w:val="23"/>
          <w:szCs w:val="23"/>
        </w:rPr>
        <w:t xml:space="preserve"> </w:t>
      </w:r>
      <w:r w:rsidR="00E32C59" w:rsidRPr="00444D48">
        <w:rPr>
          <w:rFonts w:ascii="Arial" w:hAnsi="Arial" w:cs="Arial"/>
          <w:sz w:val="23"/>
          <w:szCs w:val="23"/>
        </w:rPr>
        <w:t>can be</w:t>
      </w:r>
      <w:r w:rsidR="00F0713B" w:rsidRPr="00444D48">
        <w:rPr>
          <w:rFonts w:ascii="Arial" w:hAnsi="Arial" w:cs="Arial"/>
          <w:sz w:val="23"/>
          <w:szCs w:val="23"/>
        </w:rPr>
        <w:t xml:space="preserve"> </w:t>
      </w:r>
      <w:r w:rsidR="00951DD2" w:rsidRPr="00444D48">
        <w:rPr>
          <w:rFonts w:ascii="Arial" w:hAnsi="Arial" w:cs="Arial"/>
          <w:sz w:val="23"/>
          <w:szCs w:val="23"/>
        </w:rPr>
        <w:t xml:space="preserve">an integral </w:t>
      </w:r>
      <w:r w:rsidR="00F0713B" w:rsidRPr="00444D48">
        <w:rPr>
          <w:rFonts w:ascii="Arial" w:hAnsi="Arial" w:cs="Arial"/>
          <w:sz w:val="23"/>
          <w:szCs w:val="23"/>
        </w:rPr>
        <w:t>part of the decisions that affect their communities</w:t>
      </w:r>
      <w:r w:rsidRPr="00444D48">
        <w:rPr>
          <w:rFonts w:ascii="Arial" w:hAnsi="Arial" w:cs="Arial"/>
          <w:sz w:val="23"/>
          <w:szCs w:val="23"/>
        </w:rPr>
        <w:t>.</w:t>
      </w:r>
    </w:p>
    <w:p w14:paraId="63634DC9" w14:textId="77777777" w:rsidR="002D0DF0" w:rsidRPr="00444D48" w:rsidRDefault="000954EF" w:rsidP="008B7B4E">
      <w:pPr>
        <w:spacing w:line="264" w:lineRule="auto"/>
        <w:ind w:left="720"/>
        <w:rPr>
          <w:rFonts w:ascii="Arial" w:hAnsi="Arial" w:cs="Arial"/>
          <w:sz w:val="23"/>
          <w:szCs w:val="23"/>
        </w:rPr>
      </w:pPr>
      <w:r w:rsidRPr="00444D48">
        <w:rPr>
          <w:rFonts w:ascii="Arial" w:hAnsi="Arial" w:cs="Arial"/>
          <w:b/>
          <w:bCs/>
          <w:sz w:val="23"/>
          <w:szCs w:val="23"/>
        </w:rPr>
        <w:t>Place-</w:t>
      </w:r>
      <w:r w:rsidR="00F0713B" w:rsidRPr="00444D48">
        <w:rPr>
          <w:rFonts w:ascii="Arial" w:hAnsi="Arial" w:cs="Arial"/>
          <w:b/>
          <w:bCs/>
          <w:sz w:val="23"/>
          <w:szCs w:val="23"/>
        </w:rPr>
        <w:t>b</w:t>
      </w:r>
      <w:r w:rsidR="00F13F50" w:rsidRPr="00444D48">
        <w:rPr>
          <w:rFonts w:ascii="Arial" w:hAnsi="Arial" w:cs="Arial"/>
          <w:b/>
          <w:bCs/>
          <w:sz w:val="23"/>
          <w:szCs w:val="23"/>
        </w:rPr>
        <w:t xml:space="preserve">ased </w:t>
      </w:r>
      <w:r w:rsidR="00EF61F7" w:rsidRPr="00444D48">
        <w:rPr>
          <w:rFonts w:ascii="Arial" w:hAnsi="Arial" w:cs="Arial"/>
          <w:b/>
          <w:bCs/>
          <w:sz w:val="23"/>
          <w:szCs w:val="23"/>
        </w:rPr>
        <w:t>Responses</w:t>
      </w:r>
      <w:r w:rsidR="00BC7F43" w:rsidRPr="00444D48">
        <w:rPr>
          <w:rFonts w:ascii="Arial" w:hAnsi="Arial" w:cs="Arial"/>
          <w:b/>
          <w:bCs/>
          <w:sz w:val="23"/>
          <w:szCs w:val="23"/>
        </w:rPr>
        <w:t xml:space="preserve"> and</w:t>
      </w:r>
      <w:r w:rsidR="003A6E97" w:rsidRPr="00444D48">
        <w:rPr>
          <w:rFonts w:ascii="Arial" w:hAnsi="Arial" w:cs="Arial"/>
          <w:b/>
          <w:bCs/>
          <w:sz w:val="23"/>
          <w:szCs w:val="23"/>
        </w:rPr>
        <w:t xml:space="preserve"> Regional Decision Making</w:t>
      </w:r>
      <w:r w:rsidR="003A6E97" w:rsidRPr="00444D48">
        <w:rPr>
          <w:rFonts w:ascii="Arial" w:hAnsi="Arial" w:cs="Arial"/>
          <w:sz w:val="23"/>
          <w:szCs w:val="23"/>
        </w:rPr>
        <w:t xml:space="preserve"> </w:t>
      </w:r>
      <w:r w:rsidR="00EF61F7" w:rsidRPr="00444D48">
        <w:rPr>
          <w:rFonts w:ascii="Arial" w:hAnsi="Arial" w:cs="Arial"/>
          <w:sz w:val="23"/>
          <w:szCs w:val="23"/>
        </w:rPr>
        <w:t>– Programs and investment</w:t>
      </w:r>
      <w:r w:rsidRPr="00444D48">
        <w:rPr>
          <w:rFonts w:ascii="Arial" w:hAnsi="Arial" w:cs="Arial"/>
          <w:sz w:val="23"/>
          <w:szCs w:val="23"/>
        </w:rPr>
        <w:t>s</w:t>
      </w:r>
      <w:r w:rsidR="00EF61F7" w:rsidRPr="00444D48">
        <w:rPr>
          <w:rFonts w:ascii="Arial" w:hAnsi="Arial" w:cs="Arial"/>
          <w:sz w:val="23"/>
          <w:szCs w:val="23"/>
        </w:rPr>
        <w:t xml:space="preserve"> should be culturally </w:t>
      </w:r>
      <w:r w:rsidR="006D0D1F" w:rsidRPr="00444D48">
        <w:rPr>
          <w:rFonts w:ascii="Arial" w:hAnsi="Arial" w:cs="Arial"/>
          <w:sz w:val="23"/>
          <w:szCs w:val="23"/>
        </w:rPr>
        <w:t xml:space="preserve">responsive </w:t>
      </w:r>
      <w:r w:rsidR="00EF61F7" w:rsidRPr="00444D48">
        <w:rPr>
          <w:rFonts w:ascii="Arial" w:hAnsi="Arial" w:cs="Arial"/>
          <w:sz w:val="23"/>
          <w:szCs w:val="23"/>
        </w:rPr>
        <w:t xml:space="preserve">and </w:t>
      </w:r>
      <w:r w:rsidR="002B3406" w:rsidRPr="00444D48">
        <w:rPr>
          <w:rFonts w:ascii="Arial" w:hAnsi="Arial" w:cs="Arial"/>
          <w:sz w:val="23"/>
          <w:szCs w:val="23"/>
        </w:rPr>
        <w:t>tailored</w:t>
      </w:r>
      <w:r w:rsidR="00EF61F7" w:rsidRPr="00444D48">
        <w:rPr>
          <w:rFonts w:ascii="Arial" w:hAnsi="Arial" w:cs="Arial"/>
          <w:sz w:val="23"/>
          <w:szCs w:val="23"/>
        </w:rPr>
        <w:t xml:space="preserve"> to </w:t>
      </w:r>
      <w:r w:rsidR="00951DD2" w:rsidRPr="00444D48">
        <w:rPr>
          <w:rFonts w:ascii="Arial" w:hAnsi="Arial" w:cs="Arial"/>
          <w:sz w:val="23"/>
          <w:szCs w:val="23"/>
        </w:rPr>
        <w:t xml:space="preserve">place. </w:t>
      </w:r>
      <w:r w:rsidR="00EF61F7" w:rsidRPr="00444D48">
        <w:rPr>
          <w:rFonts w:ascii="Arial" w:hAnsi="Arial" w:cs="Arial"/>
          <w:sz w:val="23"/>
          <w:szCs w:val="23"/>
        </w:rPr>
        <w:t xml:space="preserve">Each </w:t>
      </w:r>
      <w:r w:rsidR="00F20862" w:rsidRPr="00444D48">
        <w:rPr>
          <w:rFonts w:ascii="Arial" w:hAnsi="Arial" w:cs="Arial"/>
          <w:sz w:val="23"/>
          <w:szCs w:val="23"/>
        </w:rPr>
        <w:t xml:space="preserve">community and region </w:t>
      </w:r>
      <w:r w:rsidR="00EF61F7" w:rsidRPr="00444D48">
        <w:rPr>
          <w:rFonts w:ascii="Arial" w:hAnsi="Arial" w:cs="Arial"/>
          <w:sz w:val="23"/>
          <w:szCs w:val="23"/>
        </w:rPr>
        <w:t>has its own unique history</w:t>
      </w:r>
      <w:r w:rsidR="0066502F" w:rsidRPr="00444D48">
        <w:rPr>
          <w:rFonts w:ascii="Arial" w:hAnsi="Arial" w:cs="Arial"/>
          <w:sz w:val="23"/>
          <w:szCs w:val="23"/>
        </w:rPr>
        <w:t xml:space="preserve"> and </w:t>
      </w:r>
      <w:r w:rsidR="00EF61F7" w:rsidRPr="00444D48">
        <w:rPr>
          <w:rFonts w:ascii="Arial" w:hAnsi="Arial" w:cs="Arial"/>
          <w:sz w:val="23"/>
          <w:szCs w:val="23"/>
        </w:rPr>
        <w:t>circumstances</w:t>
      </w:r>
      <w:r w:rsidR="0066502F" w:rsidRPr="00444D48">
        <w:rPr>
          <w:rFonts w:ascii="Arial" w:hAnsi="Arial" w:cs="Arial"/>
          <w:sz w:val="23"/>
          <w:szCs w:val="23"/>
        </w:rPr>
        <w:t>. Community members</w:t>
      </w:r>
      <w:r w:rsidRPr="00444D48">
        <w:rPr>
          <w:rFonts w:ascii="Arial" w:hAnsi="Arial" w:cs="Arial"/>
          <w:sz w:val="23"/>
          <w:szCs w:val="23"/>
        </w:rPr>
        <w:t>, Elders</w:t>
      </w:r>
      <w:r w:rsidR="0066502F" w:rsidRPr="00444D48">
        <w:rPr>
          <w:rFonts w:ascii="Arial" w:hAnsi="Arial" w:cs="Arial"/>
          <w:sz w:val="23"/>
          <w:szCs w:val="23"/>
        </w:rPr>
        <w:t xml:space="preserve"> and </w:t>
      </w:r>
      <w:r w:rsidR="00F13F50" w:rsidRPr="00444D48">
        <w:rPr>
          <w:rFonts w:ascii="Arial" w:hAnsi="Arial" w:cs="Arial"/>
          <w:sz w:val="23"/>
          <w:szCs w:val="23"/>
        </w:rPr>
        <w:t>regional</w:t>
      </w:r>
      <w:r w:rsidR="0066502F" w:rsidRPr="00444D48">
        <w:rPr>
          <w:rFonts w:ascii="Arial" w:hAnsi="Arial" w:cs="Arial"/>
          <w:sz w:val="23"/>
          <w:szCs w:val="23"/>
        </w:rPr>
        <w:t xml:space="preserve"> governance structures </w:t>
      </w:r>
      <w:r w:rsidR="00AE0407" w:rsidRPr="00444D48">
        <w:rPr>
          <w:rFonts w:ascii="Arial" w:hAnsi="Arial" w:cs="Arial"/>
          <w:sz w:val="23"/>
          <w:szCs w:val="23"/>
        </w:rPr>
        <w:t xml:space="preserve">are </w:t>
      </w:r>
      <w:r w:rsidR="006D0D1F" w:rsidRPr="00444D48">
        <w:rPr>
          <w:rFonts w:ascii="Arial" w:hAnsi="Arial" w:cs="Arial"/>
          <w:sz w:val="23"/>
          <w:szCs w:val="23"/>
        </w:rPr>
        <w:t xml:space="preserve">critical partners and </w:t>
      </w:r>
      <w:r w:rsidR="00AE0407" w:rsidRPr="00444D48">
        <w:rPr>
          <w:rFonts w:ascii="Arial" w:hAnsi="Arial" w:cs="Arial"/>
          <w:sz w:val="23"/>
          <w:szCs w:val="23"/>
        </w:rPr>
        <w:t>an essential source of knowledge and authority on</w:t>
      </w:r>
      <w:r w:rsidR="0066502F" w:rsidRPr="00444D48">
        <w:rPr>
          <w:rFonts w:ascii="Arial" w:hAnsi="Arial" w:cs="Arial"/>
          <w:sz w:val="23"/>
          <w:szCs w:val="23"/>
        </w:rPr>
        <w:t xml:space="preserve"> the </w:t>
      </w:r>
      <w:r w:rsidR="002D0DF0" w:rsidRPr="00444D48">
        <w:rPr>
          <w:rFonts w:ascii="Arial" w:hAnsi="Arial" w:cs="Arial"/>
          <w:sz w:val="23"/>
          <w:szCs w:val="23"/>
        </w:rPr>
        <w:t xml:space="preserve">needs, </w:t>
      </w:r>
      <w:r w:rsidR="00EF61F7" w:rsidRPr="00444D48">
        <w:rPr>
          <w:rFonts w:ascii="Arial" w:hAnsi="Arial" w:cs="Arial"/>
          <w:sz w:val="23"/>
          <w:szCs w:val="23"/>
        </w:rPr>
        <w:t>opportunities, priorities and aspirations</w:t>
      </w:r>
      <w:r w:rsidR="0066502F" w:rsidRPr="00444D48">
        <w:rPr>
          <w:rFonts w:ascii="Arial" w:hAnsi="Arial" w:cs="Arial"/>
          <w:sz w:val="23"/>
          <w:szCs w:val="23"/>
        </w:rPr>
        <w:t xml:space="preserve"> of their communities</w:t>
      </w:r>
      <w:r w:rsidR="00414515" w:rsidRPr="00444D48">
        <w:rPr>
          <w:rFonts w:ascii="Arial" w:hAnsi="Arial" w:cs="Arial"/>
          <w:sz w:val="23"/>
          <w:szCs w:val="23"/>
        </w:rPr>
        <w:t>.</w:t>
      </w:r>
    </w:p>
    <w:p w14:paraId="73AC142C" w14:textId="77777777" w:rsidR="00010548" w:rsidRPr="00444D48" w:rsidRDefault="00010548" w:rsidP="008B7B4E">
      <w:pPr>
        <w:spacing w:line="264" w:lineRule="auto"/>
        <w:ind w:left="720"/>
        <w:rPr>
          <w:rFonts w:ascii="Arial" w:hAnsi="Arial" w:cs="Arial"/>
          <w:sz w:val="23"/>
          <w:szCs w:val="23"/>
        </w:rPr>
      </w:pPr>
      <w:r w:rsidRPr="00444D48">
        <w:rPr>
          <w:rFonts w:ascii="Arial" w:hAnsi="Arial" w:cs="Arial"/>
          <w:b/>
          <w:bCs/>
          <w:sz w:val="23"/>
          <w:szCs w:val="23"/>
        </w:rPr>
        <w:t xml:space="preserve">Evidence, Evaluation </w:t>
      </w:r>
      <w:r w:rsidR="00A80D02" w:rsidRPr="00444D48">
        <w:rPr>
          <w:rFonts w:ascii="Arial" w:hAnsi="Arial" w:cs="Arial"/>
          <w:b/>
          <w:bCs/>
          <w:sz w:val="23"/>
          <w:szCs w:val="23"/>
        </w:rPr>
        <w:t>and</w:t>
      </w:r>
      <w:r w:rsidRPr="00444D48">
        <w:rPr>
          <w:rFonts w:ascii="Arial" w:hAnsi="Arial" w:cs="Arial"/>
          <w:b/>
          <w:bCs/>
          <w:sz w:val="23"/>
          <w:szCs w:val="23"/>
        </w:rPr>
        <w:t xml:space="preserve"> Accountability</w:t>
      </w:r>
      <w:r w:rsidRPr="00444D48">
        <w:rPr>
          <w:rFonts w:ascii="Arial" w:hAnsi="Arial" w:cs="Arial"/>
          <w:sz w:val="23"/>
          <w:szCs w:val="23"/>
        </w:rPr>
        <w:t xml:space="preserve"> – All policies and programs should be developed </w:t>
      </w:r>
      <w:r w:rsidR="00025089" w:rsidRPr="00444D48">
        <w:rPr>
          <w:rFonts w:ascii="Arial" w:hAnsi="Arial" w:cs="Arial"/>
          <w:sz w:val="23"/>
          <w:szCs w:val="23"/>
        </w:rPr>
        <w:t>on</w:t>
      </w:r>
      <w:r w:rsidRPr="00444D48">
        <w:rPr>
          <w:rFonts w:ascii="Arial" w:hAnsi="Arial" w:cs="Arial"/>
          <w:sz w:val="23"/>
          <w:szCs w:val="23"/>
        </w:rPr>
        <w:t xml:space="preserve"> evidence-based </w:t>
      </w:r>
      <w:r w:rsidR="00025089" w:rsidRPr="00444D48">
        <w:rPr>
          <w:rFonts w:ascii="Arial" w:hAnsi="Arial" w:cs="Arial"/>
          <w:sz w:val="23"/>
          <w:szCs w:val="23"/>
        </w:rPr>
        <w:t>principles</w:t>
      </w:r>
      <w:r w:rsidRPr="00444D48">
        <w:rPr>
          <w:rFonts w:ascii="Arial" w:hAnsi="Arial" w:cs="Arial"/>
          <w:sz w:val="23"/>
          <w:szCs w:val="23"/>
        </w:rPr>
        <w:t xml:space="preserve">, </w:t>
      </w:r>
      <w:r w:rsidR="00025089" w:rsidRPr="00444D48">
        <w:rPr>
          <w:rFonts w:ascii="Arial" w:hAnsi="Arial" w:cs="Arial"/>
          <w:sz w:val="23"/>
          <w:szCs w:val="23"/>
        </w:rPr>
        <w:t xml:space="preserve">be </w:t>
      </w:r>
      <w:r w:rsidRPr="00444D48">
        <w:rPr>
          <w:rFonts w:ascii="Arial" w:hAnsi="Arial" w:cs="Arial"/>
          <w:sz w:val="23"/>
          <w:szCs w:val="23"/>
        </w:rPr>
        <w:t>rigorously evaluated, and have clear</w:t>
      </w:r>
      <w:r w:rsidR="002D0DF0" w:rsidRPr="00444D48">
        <w:rPr>
          <w:rFonts w:ascii="Arial" w:hAnsi="Arial" w:cs="Arial"/>
          <w:sz w:val="23"/>
          <w:szCs w:val="23"/>
        </w:rPr>
        <w:t xml:space="preserve"> accountabilities based on acknowledged</w:t>
      </w:r>
      <w:r w:rsidRPr="00444D48">
        <w:rPr>
          <w:rFonts w:ascii="Arial" w:hAnsi="Arial" w:cs="Arial"/>
          <w:sz w:val="23"/>
          <w:szCs w:val="23"/>
        </w:rPr>
        <w:t xml:space="preserve"> roles and responsibilities. </w:t>
      </w:r>
      <w:r w:rsidR="000F1EEA" w:rsidRPr="00444D48">
        <w:rPr>
          <w:rFonts w:ascii="Arial" w:hAnsi="Arial" w:cs="Arial"/>
          <w:sz w:val="23"/>
          <w:szCs w:val="23"/>
        </w:rPr>
        <w:t>Governments and communities should have a shared understanding of evidence, evaluation and accountability.</w:t>
      </w:r>
    </w:p>
    <w:p w14:paraId="2B8EDB5D" w14:textId="77777777" w:rsidR="00010548" w:rsidRPr="00444D48" w:rsidRDefault="00010548" w:rsidP="008B7B4E">
      <w:pPr>
        <w:spacing w:line="264" w:lineRule="auto"/>
        <w:ind w:left="720"/>
        <w:rPr>
          <w:rFonts w:ascii="Arial" w:hAnsi="Arial" w:cs="Arial"/>
          <w:sz w:val="23"/>
          <w:szCs w:val="23"/>
        </w:rPr>
      </w:pPr>
      <w:r w:rsidRPr="00444D48">
        <w:rPr>
          <w:rFonts w:ascii="Arial" w:hAnsi="Arial" w:cs="Arial"/>
          <w:b/>
          <w:bCs/>
          <w:sz w:val="23"/>
          <w:szCs w:val="23"/>
        </w:rPr>
        <w:t>Targeted investment</w:t>
      </w:r>
      <w:r w:rsidRPr="00444D48">
        <w:rPr>
          <w:rFonts w:ascii="Arial" w:hAnsi="Arial" w:cs="Arial"/>
          <w:sz w:val="23"/>
          <w:szCs w:val="23"/>
        </w:rPr>
        <w:t xml:space="preserve"> – Government investments should contribute to achieving the Closing the Gap targets through strategic prioritisation of efforts based on rigorous </w:t>
      </w:r>
      <w:r w:rsidR="00025089" w:rsidRPr="00444D48">
        <w:rPr>
          <w:rFonts w:ascii="Arial" w:hAnsi="Arial" w:cs="Arial"/>
          <w:sz w:val="23"/>
          <w:szCs w:val="23"/>
        </w:rPr>
        <w:t>evaluation</w:t>
      </w:r>
      <w:r w:rsidRPr="00444D48">
        <w:rPr>
          <w:rFonts w:ascii="Arial" w:hAnsi="Arial" w:cs="Arial"/>
          <w:sz w:val="23"/>
          <w:szCs w:val="23"/>
        </w:rPr>
        <w:t xml:space="preserve"> and input from Aboriginal and Torres Strait Islander communities</w:t>
      </w:r>
      <w:r w:rsidR="00197BE7" w:rsidRPr="00444D48">
        <w:rPr>
          <w:rFonts w:ascii="Arial" w:hAnsi="Arial" w:cs="Arial"/>
          <w:sz w:val="23"/>
          <w:szCs w:val="23"/>
        </w:rPr>
        <w:t>, especially as it relates to policy formation, outcomes and service commissioning</w:t>
      </w:r>
      <w:r w:rsidRPr="00444D48">
        <w:rPr>
          <w:rFonts w:ascii="Arial" w:hAnsi="Arial" w:cs="Arial"/>
          <w:sz w:val="23"/>
          <w:szCs w:val="23"/>
        </w:rPr>
        <w:t>.</w:t>
      </w:r>
    </w:p>
    <w:p w14:paraId="22825089" w14:textId="77777777" w:rsidR="00010548" w:rsidRPr="00444D48" w:rsidRDefault="00010548" w:rsidP="008B7B4E">
      <w:pPr>
        <w:spacing w:line="264" w:lineRule="auto"/>
        <w:ind w:left="720"/>
        <w:rPr>
          <w:rFonts w:ascii="Arial" w:hAnsi="Arial" w:cs="Arial"/>
          <w:sz w:val="23"/>
          <w:szCs w:val="23"/>
        </w:rPr>
      </w:pPr>
      <w:r w:rsidRPr="00444D48">
        <w:rPr>
          <w:rFonts w:ascii="Arial" w:hAnsi="Arial" w:cs="Arial"/>
          <w:b/>
          <w:bCs/>
          <w:sz w:val="23"/>
          <w:szCs w:val="23"/>
        </w:rPr>
        <w:t>Integrated Systems</w:t>
      </w:r>
      <w:r w:rsidRPr="00444D48">
        <w:rPr>
          <w:rFonts w:ascii="Arial" w:hAnsi="Arial" w:cs="Arial"/>
          <w:sz w:val="23"/>
          <w:szCs w:val="23"/>
        </w:rPr>
        <w:t xml:space="preserve"> – There should be collaboration between and within Governments, communities and other stakeholders in a given place to effectively coordinate efforts</w:t>
      </w:r>
      <w:r w:rsidR="00922573" w:rsidRPr="00444D48">
        <w:rPr>
          <w:rFonts w:ascii="Arial" w:hAnsi="Arial" w:cs="Arial"/>
          <w:sz w:val="23"/>
          <w:szCs w:val="23"/>
        </w:rPr>
        <w:t>, supported by improvements in transparency and accountability</w:t>
      </w:r>
      <w:r w:rsidRPr="00444D48">
        <w:rPr>
          <w:rFonts w:ascii="Arial" w:hAnsi="Arial" w:cs="Arial"/>
          <w:sz w:val="23"/>
          <w:szCs w:val="23"/>
        </w:rPr>
        <w:t>.</w:t>
      </w:r>
    </w:p>
    <w:p w14:paraId="7C5851C3" w14:textId="77777777" w:rsidR="00731FE2" w:rsidRPr="00444D48" w:rsidRDefault="001D3E59" w:rsidP="008B7B4E">
      <w:pPr>
        <w:spacing w:before="240" w:line="264" w:lineRule="auto"/>
        <w:rPr>
          <w:rFonts w:ascii="Arial" w:hAnsi="Arial" w:cs="Arial"/>
          <w:b/>
          <w:sz w:val="23"/>
          <w:szCs w:val="23"/>
        </w:rPr>
      </w:pPr>
      <w:r w:rsidRPr="00444D48">
        <w:rPr>
          <w:rFonts w:ascii="Arial" w:hAnsi="Arial" w:cs="Arial"/>
          <w:b/>
          <w:sz w:val="23"/>
          <w:szCs w:val="23"/>
        </w:rPr>
        <w:t>WHERE WE HAVE COME FROM – T</w:t>
      </w:r>
      <w:r w:rsidR="00731FE2" w:rsidRPr="00444D48">
        <w:rPr>
          <w:rFonts w:ascii="Arial" w:hAnsi="Arial" w:cs="Arial"/>
          <w:b/>
          <w:sz w:val="23"/>
          <w:szCs w:val="23"/>
        </w:rPr>
        <w:t xml:space="preserve">EN YEARS OF CLOSING THE GAP </w:t>
      </w:r>
    </w:p>
    <w:p w14:paraId="6345964E" w14:textId="77777777" w:rsidR="00731FE2" w:rsidRPr="00444D48" w:rsidRDefault="00731FE2" w:rsidP="008B7B4E">
      <w:pPr>
        <w:pStyle w:val="Bullet"/>
        <w:numPr>
          <w:ilvl w:val="0"/>
          <w:numId w:val="0"/>
        </w:numPr>
        <w:spacing w:line="264" w:lineRule="auto"/>
        <w:jc w:val="left"/>
        <w:rPr>
          <w:rFonts w:ascii="Arial" w:hAnsi="Arial" w:cs="Arial"/>
          <w:szCs w:val="23"/>
        </w:rPr>
      </w:pPr>
      <w:r w:rsidRPr="00444D48">
        <w:rPr>
          <w:rFonts w:ascii="Arial" w:hAnsi="Arial" w:cs="Arial"/>
          <w:szCs w:val="23"/>
        </w:rPr>
        <w:t xml:space="preserve">In 2008, </w:t>
      </w:r>
      <w:r w:rsidR="00811042" w:rsidRPr="00444D48">
        <w:rPr>
          <w:rFonts w:ascii="Arial" w:hAnsi="Arial" w:cs="Arial"/>
          <w:szCs w:val="23"/>
        </w:rPr>
        <w:t>COAG</w:t>
      </w:r>
      <w:r w:rsidRPr="00444D48">
        <w:rPr>
          <w:rFonts w:ascii="Arial" w:hAnsi="Arial" w:cs="Arial"/>
          <w:szCs w:val="23"/>
        </w:rPr>
        <w:t xml:space="preserve"> agreed to the </w:t>
      </w:r>
      <w:r w:rsidR="00811042" w:rsidRPr="00444D48">
        <w:rPr>
          <w:rFonts w:ascii="Arial" w:hAnsi="Arial" w:cs="Arial"/>
          <w:szCs w:val="23"/>
        </w:rPr>
        <w:t>NIRA</w:t>
      </w:r>
      <w:r w:rsidRPr="00444D48">
        <w:rPr>
          <w:rFonts w:ascii="Arial" w:hAnsi="Arial" w:cs="Arial"/>
          <w:szCs w:val="23"/>
        </w:rPr>
        <w:t xml:space="preserve"> to implement the Closing the Gap agenda. In signing the agreement, governments acknowledged that a concerted national effort was needed to address </w:t>
      </w:r>
      <w:r w:rsidR="00C57D8D" w:rsidRPr="00444D48">
        <w:rPr>
          <w:rFonts w:ascii="Arial" w:hAnsi="Arial" w:cs="Arial"/>
          <w:szCs w:val="23"/>
        </w:rPr>
        <w:t xml:space="preserve">Aboriginal and Torres Strait Islander </w:t>
      </w:r>
      <w:r w:rsidRPr="00444D48">
        <w:rPr>
          <w:rFonts w:ascii="Arial" w:hAnsi="Arial" w:cs="Arial"/>
          <w:szCs w:val="23"/>
        </w:rPr>
        <w:t xml:space="preserve">disadvantage in key areas. </w:t>
      </w:r>
    </w:p>
    <w:p w14:paraId="7FA420E6" w14:textId="77777777" w:rsidR="00731FE2" w:rsidRPr="00444D48" w:rsidRDefault="00731FE2" w:rsidP="008B7B4E">
      <w:pPr>
        <w:pStyle w:val="Bullet"/>
        <w:numPr>
          <w:ilvl w:val="0"/>
          <w:numId w:val="0"/>
        </w:numPr>
        <w:spacing w:line="264" w:lineRule="auto"/>
        <w:jc w:val="left"/>
        <w:rPr>
          <w:rFonts w:ascii="Arial" w:hAnsi="Arial" w:cs="Arial"/>
          <w:szCs w:val="23"/>
        </w:rPr>
      </w:pPr>
      <w:r w:rsidRPr="00444D48">
        <w:rPr>
          <w:rFonts w:ascii="Arial" w:hAnsi="Arial" w:cs="Arial"/>
          <w:szCs w:val="23"/>
        </w:rPr>
        <w:t xml:space="preserve">At the time, Closing the Gap was the most ambitious commitment ever made by governments to improve outcomes for </w:t>
      </w:r>
      <w:r w:rsidR="004928F4" w:rsidRPr="00444D48">
        <w:rPr>
          <w:rFonts w:ascii="Arial" w:hAnsi="Arial" w:cs="Arial"/>
          <w:szCs w:val="23"/>
        </w:rPr>
        <w:t>Aboriginal and Torres Strait Islander people</w:t>
      </w:r>
      <w:r w:rsidR="00723E56" w:rsidRPr="00444D48">
        <w:rPr>
          <w:rFonts w:ascii="Arial" w:hAnsi="Arial" w:cs="Arial"/>
          <w:szCs w:val="23"/>
        </w:rPr>
        <w:t>s</w:t>
      </w:r>
      <w:r w:rsidRPr="00444D48">
        <w:rPr>
          <w:rFonts w:ascii="Arial" w:hAnsi="Arial" w:cs="Arial"/>
          <w:szCs w:val="23"/>
        </w:rPr>
        <w:t xml:space="preserve">. However, the agreement was negotiated with little to no input from </w:t>
      </w:r>
      <w:r w:rsidR="00AE2DDA" w:rsidRPr="00444D48">
        <w:rPr>
          <w:rFonts w:ascii="Arial" w:hAnsi="Arial" w:cs="Arial"/>
          <w:szCs w:val="23"/>
        </w:rPr>
        <w:t>Aboriginal and Torres Strait Islander people</w:t>
      </w:r>
      <w:r w:rsidR="00723E56" w:rsidRPr="00444D48">
        <w:rPr>
          <w:rFonts w:ascii="Arial" w:hAnsi="Arial" w:cs="Arial"/>
          <w:szCs w:val="23"/>
        </w:rPr>
        <w:t>s</w:t>
      </w:r>
      <w:r w:rsidRPr="00444D48">
        <w:rPr>
          <w:rFonts w:ascii="Arial" w:hAnsi="Arial" w:cs="Arial"/>
          <w:szCs w:val="23"/>
        </w:rPr>
        <w:t xml:space="preserve">, and without an adequate understanding of the mechanisms and timeframes needed to deliver lasting change. It also perpetuated a deficit-based view that framed </w:t>
      </w:r>
      <w:r w:rsidR="00C57D8D" w:rsidRPr="00444D48">
        <w:rPr>
          <w:rFonts w:ascii="Arial" w:hAnsi="Arial" w:cs="Arial"/>
          <w:szCs w:val="23"/>
        </w:rPr>
        <w:t xml:space="preserve">Aboriginal and Torres Strait Islander </w:t>
      </w:r>
      <w:r w:rsidRPr="00444D48">
        <w:rPr>
          <w:rFonts w:ascii="Arial" w:hAnsi="Arial" w:cs="Arial"/>
          <w:szCs w:val="23"/>
        </w:rPr>
        <w:t xml:space="preserve">policy as a series of responses to disadvantage and inequality, and under-emphasised the strength and agency of Aboriginal and Torres Strait Islander </w:t>
      </w:r>
      <w:r w:rsidR="00A80D02" w:rsidRPr="00444D48">
        <w:rPr>
          <w:rFonts w:ascii="Arial" w:hAnsi="Arial" w:cs="Arial"/>
          <w:szCs w:val="23"/>
        </w:rPr>
        <w:t>people</w:t>
      </w:r>
      <w:r w:rsidR="00723E56" w:rsidRPr="00444D48">
        <w:rPr>
          <w:rFonts w:ascii="Arial" w:hAnsi="Arial" w:cs="Arial"/>
          <w:szCs w:val="23"/>
        </w:rPr>
        <w:t>s</w:t>
      </w:r>
      <w:r w:rsidRPr="00444D48">
        <w:rPr>
          <w:rFonts w:ascii="Arial" w:hAnsi="Arial" w:cs="Arial"/>
          <w:szCs w:val="23"/>
        </w:rPr>
        <w:t xml:space="preserve">. </w:t>
      </w:r>
    </w:p>
    <w:p w14:paraId="568F0D57" w14:textId="77777777" w:rsidR="00731FE2" w:rsidRPr="00444D48" w:rsidRDefault="00731FE2" w:rsidP="008B7B4E">
      <w:pPr>
        <w:pStyle w:val="Bullet"/>
        <w:numPr>
          <w:ilvl w:val="0"/>
          <w:numId w:val="0"/>
        </w:numPr>
        <w:spacing w:line="264" w:lineRule="auto"/>
        <w:jc w:val="left"/>
        <w:rPr>
          <w:rFonts w:ascii="Arial" w:hAnsi="Arial" w:cs="Arial"/>
          <w:szCs w:val="23"/>
        </w:rPr>
      </w:pPr>
      <w:r w:rsidRPr="00444D48">
        <w:rPr>
          <w:rFonts w:ascii="Arial" w:hAnsi="Arial" w:cs="Arial"/>
          <w:szCs w:val="23"/>
        </w:rPr>
        <w:t xml:space="preserve">While some progress has been made to improve outcomes for </w:t>
      </w:r>
      <w:r w:rsidR="004928F4" w:rsidRPr="00444D48">
        <w:rPr>
          <w:rFonts w:ascii="Arial" w:hAnsi="Arial" w:cs="Arial"/>
          <w:szCs w:val="23"/>
        </w:rPr>
        <w:t>Aboriginal and Torres Strait Islander people</w:t>
      </w:r>
      <w:r w:rsidR="00723E56" w:rsidRPr="00444D48">
        <w:rPr>
          <w:rFonts w:ascii="Arial" w:hAnsi="Arial" w:cs="Arial"/>
          <w:szCs w:val="23"/>
        </w:rPr>
        <w:t>s</w:t>
      </w:r>
      <w:r w:rsidRPr="00444D48" w:rsidDel="003B45E6">
        <w:rPr>
          <w:rFonts w:ascii="Arial" w:hAnsi="Arial" w:cs="Arial"/>
          <w:szCs w:val="23"/>
        </w:rPr>
        <w:t xml:space="preserve"> </w:t>
      </w:r>
      <w:r w:rsidRPr="00444D48">
        <w:rPr>
          <w:rFonts w:ascii="Arial" w:hAnsi="Arial" w:cs="Arial"/>
          <w:szCs w:val="23"/>
        </w:rPr>
        <w:t>with respect to life expectancy, child mortality, educational achievement, employment and early childhood education, only three of the seven current targets were on track at the agreement’s ten</w:t>
      </w:r>
      <w:r w:rsidR="00BB1187" w:rsidRPr="00444D48">
        <w:rPr>
          <w:rFonts w:ascii="Arial" w:hAnsi="Arial" w:cs="Arial"/>
          <w:szCs w:val="23"/>
        </w:rPr>
        <w:t>-</w:t>
      </w:r>
      <w:r w:rsidRPr="00444D48">
        <w:rPr>
          <w:rFonts w:ascii="Arial" w:hAnsi="Arial" w:cs="Arial"/>
          <w:szCs w:val="23"/>
        </w:rPr>
        <w:t xml:space="preserve">year anniversary in 2018. There is a shared view among </w:t>
      </w:r>
      <w:r w:rsidR="004928F4" w:rsidRPr="00444D48">
        <w:rPr>
          <w:rFonts w:ascii="Arial" w:hAnsi="Arial" w:cs="Arial"/>
          <w:szCs w:val="23"/>
        </w:rPr>
        <w:t>Aboriginal and Torres Strait Islander people</w:t>
      </w:r>
      <w:r w:rsidR="00723E56" w:rsidRPr="00444D48">
        <w:rPr>
          <w:rFonts w:ascii="Arial" w:hAnsi="Arial" w:cs="Arial"/>
          <w:szCs w:val="23"/>
        </w:rPr>
        <w:t>s</w:t>
      </w:r>
      <w:r w:rsidRPr="00444D48">
        <w:rPr>
          <w:rFonts w:ascii="Arial" w:hAnsi="Arial" w:cs="Arial"/>
          <w:szCs w:val="23"/>
        </w:rPr>
        <w:t xml:space="preserve">, the broader Australian community and Australian governments that we must do better. </w:t>
      </w:r>
    </w:p>
    <w:p w14:paraId="48FFB120" w14:textId="77777777" w:rsidR="007E4A13" w:rsidRPr="00444D48" w:rsidRDefault="007E4A13" w:rsidP="00902BD4">
      <w:pPr>
        <w:keepNext/>
        <w:spacing w:line="264" w:lineRule="auto"/>
        <w:rPr>
          <w:rFonts w:ascii="Arial" w:eastAsiaTheme="minorEastAsia" w:hAnsi="Arial" w:cs="Arial"/>
          <w:b/>
          <w:color w:val="000000"/>
          <w:sz w:val="23"/>
          <w:szCs w:val="23"/>
        </w:rPr>
      </w:pPr>
      <w:r w:rsidRPr="00444D48">
        <w:rPr>
          <w:rFonts w:ascii="Arial" w:eastAsiaTheme="minorEastAsia" w:hAnsi="Arial" w:cs="Arial"/>
          <w:b/>
          <w:color w:val="000000"/>
          <w:sz w:val="23"/>
          <w:szCs w:val="23"/>
        </w:rPr>
        <w:t>PUBLIC ENGAGEMENT</w:t>
      </w:r>
    </w:p>
    <w:p w14:paraId="143AEF65" w14:textId="77777777" w:rsidR="00731FE2" w:rsidRPr="00444D48" w:rsidRDefault="00731FE2" w:rsidP="008B7B4E">
      <w:pPr>
        <w:keepNext/>
        <w:spacing w:after="240" w:line="264" w:lineRule="auto"/>
        <w:rPr>
          <w:rFonts w:ascii="Arial" w:eastAsiaTheme="minorEastAsia" w:hAnsi="Arial" w:cs="Arial"/>
          <w:color w:val="000000"/>
          <w:sz w:val="23"/>
          <w:szCs w:val="23"/>
        </w:rPr>
      </w:pPr>
      <w:r w:rsidRPr="00444D48">
        <w:rPr>
          <w:rFonts w:ascii="Arial" w:eastAsiaTheme="minorEastAsia" w:hAnsi="Arial" w:cs="Arial"/>
          <w:color w:val="000000"/>
          <w:sz w:val="23"/>
          <w:szCs w:val="23"/>
        </w:rPr>
        <w:t xml:space="preserve">Public engagement on the Refresh has been led by the Commonwealth at the national level, and by </w:t>
      </w:r>
      <w:r w:rsidR="00BE77DF" w:rsidRPr="00444D48">
        <w:rPr>
          <w:rFonts w:ascii="Arial" w:eastAsiaTheme="minorEastAsia" w:hAnsi="Arial" w:cs="Arial"/>
          <w:color w:val="000000"/>
          <w:sz w:val="23"/>
          <w:szCs w:val="23"/>
        </w:rPr>
        <w:t>s</w:t>
      </w:r>
      <w:r w:rsidRPr="00444D48">
        <w:rPr>
          <w:rFonts w:ascii="Arial" w:eastAsiaTheme="minorEastAsia" w:hAnsi="Arial" w:cs="Arial"/>
          <w:color w:val="000000"/>
          <w:sz w:val="23"/>
          <w:szCs w:val="23"/>
        </w:rPr>
        <w:t xml:space="preserve">tates and </w:t>
      </w:r>
      <w:r w:rsidR="00BE77DF" w:rsidRPr="00444D48">
        <w:rPr>
          <w:rFonts w:ascii="Arial" w:eastAsiaTheme="minorEastAsia" w:hAnsi="Arial" w:cs="Arial"/>
          <w:color w:val="000000"/>
          <w:sz w:val="23"/>
          <w:szCs w:val="23"/>
        </w:rPr>
        <w:t>t</w:t>
      </w:r>
      <w:r w:rsidRPr="00444D48">
        <w:rPr>
          <w:rFonts w:ascii="Arial" w:eastAsiaTheme="minorEastAsia" w:hAnsi="Arial" w:cs="Arial"/>
          <w:color w:val="000000"/>
          <w:sz w:val="23"/>
          <w:szCs w:val="23"/>
        </w:rPr>
        <w:t xml:space="preserve">erritories at the local and regional levels. </w:t>
      </w:r>
    </w:p>
    <w:p w14:paraId="33FEB635" w14:textId="77777777" w:rsidR="00731FE2" w:rsidRPr="00444D48" w:rsidRDefault="00731FE2" w:rsidP="008B7B4E">
      <w:pPr>
        <w:spacing w:after="240" w:line="264" w:lineRule="auto"/>
        <w:rPr>
          <w:rFonts w:ascii="Arial" w:eastAsia="Times New Roman" w:hAnsi="Arial" w:cs="Arial"/>
          <w:sz w:val="23"/>
          <w:szCs w:val="23"/>
        </w:rPr>
      </w:pPr>
      <w:r w:rsidRPr="00444D48">
        <w:rPr>
          <w:rFonts w:ascii="Arial" w:eastAsia="Times New Roman" w:hAnsi="Arial" w:cs="Arial"/>
          <w:b/>
          <w:sz w:val="23"/>
          <w:szCs w:val="23"/>
        </w:rPr>
        <w:t xml:space="preserve">COAG Public Discussion Paper and Consultation Website: </w:t>
      </w:r>
      <w:r w:rsidRPr="00444D48">
        <w:rPr>
          <w:rFonts w:ascii="Arial" w:eastAsia="Times New Roman" w:hAnsi="Arial" w:cs="Arial"/>
          <w:sz w:val="23"/>
          <w:szCs w:val="23"/>
        </w:rPr>
        <w:t>In December</w:t>
      </w:r>
      <w:r w:rsidR="00197A6F" w:rsidRPr="00444D48">
        <w:rPr>
          <w:rFonts w:ascii="Arial" w:eastAsia="Times New Roman" w:hAnsi="Arial" w:cs="Arial"/>
          <w:sz w:val="23"/>
          <w:szCs w:val="23"/>
        </w:rPr>
        <w:t xml:space="preserve"> 2017</w:t>
      </w:r>
      <w:r w:rsidRPr="00444D48">
        <w:rPr>
          <w:rFonts w:ascii="Arial" w:eastAsia="Times New Roman" w:hAnsi="Arial" w:cs="Arial"/>
          <w:sz w:val="23"/>
          <w:szCs w:val="23"/>
        </w:rPr>
        <w:t xml:space="preserve"> the COAG public discussion paper and Closing the Gap Refresh consultation website were launched, with the website open for feedback and submissions from the public until the end of April </w:t>
      </w:r>
      <w:r w:rsidRPr="00444D48">
        <w:rPr>
          <w:rFonts w:ascii="Arial" w:eastAsia="Times New Roman" w:hAnsi="Arial" w:cs="Arial"/>
          <w:sz w:val="23"/>
          <w:szCs w:val="23"/>
        </w:rPr>
        <w:lastRenderedPageBreak/>
        <w:t xml:space="preserve">2018. Feedback from the website, including over 170 major submissions, was collated and used to inform the technical workshop process and COAG’s consideration of target areas for the next phase of the agenda.  </w:t>
      </w:r>
    </w:p>
    <w:p w14:paraId="4DA0D1CA" w14:textId="77777777" w:rsidR="00731FE2" w:rsidRPr="00444D48" w:rsidRDefault="00731FE2" w:rsidP="008B7B4E">
      <w:pPr>
        <w:spacing w:after="240" w:line="264" w:lineRule="auto"/>
        <w:rPr>
          <w:rFonts w:ascii="Arial" w:eastAsiaTheme="minorEastAsia" w:hAnsi="Arial" w:cs="Arial"/>
          <w:color w:val="000000"/>
          <w:sz w:val="23"/>
          <w:szCs w:val="23"/>
        </w:rPr>
      </w:pPr>
      <w:r w:rsidRPr="00444D48">
        <w:rPr>
          <w:rFonts w:ascii="Arial" w:eastAsiaTheme="minorEastAsia" w:hAnsi="Arial" w:cs="Arial"/>
          <w:b/>
          <w:color w:val="000000"/>
          <w:sz w:val="23"/>
          <w:szCs w:val="23"/>
        </w:rPr>
        <w:t xml:space="preserve">Special Gathering of Prominent Aboriginal and Torres Strait Islander Australians: </w:t>
      </w:r>
      <w:r w:rsidR="009965C9" w:rsidRPr="00444D48">
        <w:rPr>
          <w:rFonts w:ascii="Arial" w:eastAsiaTheme="minorEastAsia" w:hAnsi="Arial" w:cs="Arial"/>
          <w:color w:val="000000"/>
          <w:sz w:val="23"/>
          <w:szCs w:val="23"/>
        </w:rPr>
        <w:t>In </w:t>
      </w:r>
      <w:r w:rsidRPr="00444D48">
        <w:rPr>
          <w:rFonts w:ascii="Arial" w:eastAsiaTheme="minorEastAsia" w:hAnsi="Arial" w:cs="Arial"/>
          <w:color w:val="000000"/>
          <w:sz w:val="23"/>
          <w:szCs w:val="23"/>
        </w:rPr>
        <w:t xml:space="preserve">February 2018, COAG leaders agreed that the priority areas identified in the statement of the Special Gathering would form the basis for remaining community consultations on the Refresh. </w:t>
      </w:r>
      <w:r w:rsidRPr="00444D48">
        <w:rPr>
          <w:rFonts w:ascii="Arial" w:eastAsia="Times New Roman" w:hAnsi="Arial" w:cs="Arial"/>
          <w:sz w:val="23"/>
          <w:szCs w:val="23"/>
        </w:rPr>
        <w:t xml:space="preserve">The Special Gathering priority areas were tested in the national roundtables and other engagement processes led by the Commonwealth from February 2018 and have been strongly supported by stakeholders. </w:t>
      </w:r>
    </w:p>
    <w:p w14:paraId="2D9D179D" w14:textId="77777777" w:rsidR="00731FE2" w:rsidRPr="00444D48" w:rsidRDefault="00731FE2" w:rsidP="008B7B4E">
      <w:pPr>
        <w:spacing w:after="240" w:line="264" w:lineRule="auto"/>
        <w:rPr>
          <w:rFonts w:ascii="Arial" w:eastAsia="Times New Roman" w:hAnsi="Arial" w:cs="Arial"/>
          <w:sz w:val="23"/>
          <w:szCs w:val="23"/>
        </w:rPr>
      </w:pPr>
      <w:r w:rsidRPr="00444D48">
        <w:rPr>
          <w:rFonts w:ascii="Arial" w:eastAsia="Times New Roman" w:hAnsi="Arial" w:cs="Arial"/>
          <w:b/>
          <w:sz w:val="23"/>
          <w:szCs w:val="23"/>
        </w:rPr>
        <w:t xml:space="preserve">Consultations: </w:t>
      </w:r>
      <w:r w:rsidRPr="00444D48">
        <w:rPr>
          <w:rFonts w:ascii="Arial" w:eastAsia="Times New Roman" w:hAnsi="Arial" w:cs="Arial"/>
          <w:sz w:val="23"/>
          <w:szCs w:val="23"/>
        </w:rPr>
        <w:t xml:space="preserve">The Commonwealth held </w:t>
      </w:r>
      <w:r w:rsidR="00C437EF" w:rsidRPr="00444D48">
        <w:rPr>
          <w:rFonts w:ascii="Arial" w:eastAsia="Times New Roman" w:hAnsi="Arial" w:cs="Arial"/>
          <w:sz w:val="23"/>
          <w:szCs w:val="23"/>
        </w:rPr>
        <w:t xml:space="preserve">18 </w:t>
      </w:r>
      <w:r w:rsidRPr="00444D48">
        <w:rPr>
          <w:rFonts w:ascii="Arial" w:eastAsia="Times New Roman" w:hAnsi="Arial" w:cs="Arial"/>
          <w:sz w:val="23"/>
          <w:szCs w:val="23"/>
        </w:rPr>
        <w:t xml:space="preserve">national roundtables in state capitals and regional centres across the country, ending with a national peaks workshop in Canberra in April. </w:t>
      </w:r>
      <w:r w:rsidR="00C437EF" w:rsidRPr="00444D48">
        <w:rPr>
          <w:rFonts w:ascii="Arial" w:eastAsia="Times New Roman" w:hAnsi="Arial" w:cs="Arial"/>
          <w:sz w:val="23"/>
          <w:szCs w:val="23"/>
        </w:rPr>
        <w:t xml:space="preserve">Roundtables </w:t>
      </w:r>
      <w:r w:rsidRPr="00444D48">
        <w:rPr>
          <w:rFonts w:ascii="Arial" w:eastAsia="Times New Roman" w:hAnsi="Arial" w:cs="Arial"/>
          <w:sz w:val="23"/>
          <w:szCs w:val="23"/>
        </w:rPr>
        <w:t>sought feedback from participants on the prior</w:t>
      </w:r>
      <w:r w:rsidR="009965C9" w:rsidRPr="00444D48">
        <w:rPr>
          <w:rFonts w:ascii="Arial" w:eastAsia="Times New Roman" w:hAnsi="Arial" w:cs="Arial"/>
          <w:sz w:val="23"/>
          <w:szCs w:val="23"/>
        </w:rPr>
        <w:t>ities identified in the Special </w:t>
      </w:r>
      <w:r w:rsidRPr="00444D48">
        <w:rPr>
          <w:rFonts w:ascii="Arial" w:eastAsia="Times New Roman" w:hAnsi="Arial" w:cs="Arial"/>
          <w:sz w:val="23"/>
          <w:szCs w:val="23"/>
        </w:rPr>
        <w:t>Gathering statement. Over 1</w:t>
      </w:r>
      <w:r w:rsidR="00EC0385" w:rsidRPr="00444D48">
        <w:rPr>
          <w:rFonts w:ascii="Arial" w:eastAsia="Times New Roman" w:hAnsi="Arial" w:cs="Arial"/>
          <w:sz w:val="23"/>
          <w:szCs w:val="23"/>
        </w:rPr>
        <w:t>,</w:t>
      </w:r>
      <w:r w:rsidRPr="00444D48">
        <w:rPr>
          <w:rFonts w:ascii="Arial" w:eastAsia="Times New Roman" w:hAnsi="Arial" w:cs="Arial"/>
          <w:sz w:val="23"/>
          <w:szCs w:val="23"/>
        </w:rPr>
        <w:t>000 people were directly engaged through the meetings and roundtables hosted by the Commonwealth in this first phase of public engagement.</w:t>
      </w:r>
    </w:p>
    <w:p w14:paraId="7E9FA4B8" w14:textId="77777777" w:rsidR="00C437EF" w:rsidRPr="00444D48" w:rsidRDefault="00C437EF" w:rsidP="008B7B4E">
      <w:pPr>
        <w:spacing w:after="240" w:line="264" w:lineRule="auto"/>
        <w:rPr>
          <w:rFonts w:ascii="Arial" w:eastAsia="Times New Roman" w:hAnsi="Arial" w:cs="Arial"/>
          <w:sz w:val="23"/>
          <w:szCs w:val="23"/>
        </w:rPr>
      </w:pPr>
      <w:r w:rsidRPr="00444D48">
        <w:rPr>
          <w:rFonts w:ascii="Arial" w:eastAsia="Times New Roman" w:hAnsi="Arial" w:cs="Arial"/>
          <w:sz w:val="23"/>
          <w:szCs w:val="23"/>
        </w:rPr>
        <w:t xml:space="preserve">In May and June 2018 the Commonwealth hosted a series of technical workshops to develop potential targets and indicators for the refreshed agenda. The workshops brought together academics, business and </w:t>
      </w:r>
      <w:r w:rsidR="00C57D8D" w:rsidRPr="00444D48">
        <w:rPr>
          <w:rFonts w:ascii="Arial" w:hAnsi="Arial" w:cs="Arial"/>
          <w:sz w:val="23"/>
          <w:szCs w:val="23"/>
        </w:rPr>
        <w:t xml:space="preserve">Aboriginal and Torres Strait Islander </w:t>
      </w:r>
      <w:r w:rsidRPr="00444D48">
        <w:rPr>
          <w:rFonts w:ascii="Arial" w:eastAsia="Times New Roman" w:hAnsi="Arial" w:cs="Arial"/>
          <w:sz w:val="23"/>
          <w:szCs w:val="23"/>
        </w:rPr>
        <w:t xml:space="preserve">community experts and data custodians with Commonwealth and state officials in a co-design process structured </w:t>
      </w:r>
      <w:r w:rsidR="001603D2" w:rsidRPr="00444D48">
        <w:rPr>
          <w:rFonts w:ascii="Arial" w:eastAsia="Times New Roman" w:hAnsi="Arial" w:cs="Arial"/>
          <w:sz w:val="23"/>
          <w:szCs w:val="23"/>
        </w:rPr>
        <w:t xml:space="preserve">around </w:t>
      </w:r>
      <w:r w:rsidRPr="00444D48">
        <w:rPr>
          <w:rFonts w:ascii="Arial" w:eastAsia="Times New Roman" w:hAnsi="Arial" w:cs="Arial"/>
          <w:sz w:val="23"/>
          <w:szCs w:val="23"/>
        </w:rPr>
        <w:t xml:space="preserve">the Special Gathering priority areas. The first technical workshop in May was attended by officials from all jurisdictions and over 70 subject matter experts, including representatives from </w:t>
      </w:r>
      <w:r w:rsidR="00C57D8D" w:rsidRPr="00444D48">
        <w:rPr>
          <w:rFonts w:ascii="Arial" w:hAnsi="Arial" w:cs="Arial"/>
          <w:sz w:val="23"/>
          <w:szCs w:val="23"/>
        </w:rPr>
        <w:t xml:space="preserve">Aboriginal and Torres Strait Islander </w:t>
      </w:r>
      <w:r w:rsidRPr="00444D48">
        <w:rPr>
          <w:rFonts w:ascii="Arial" w:eastAsia="Times New Roman" w:hAnsi="Arial" w:cs="Arial"/>
          <w:sz w:val="23"/>
          <w:szCs w:val="23"/>
        </w:rPr>
        <w:t>organisations and communities, academics and practitioners. A similar number attended the second technica</w:t>
      </w:r>
      <w:r w:rsidR="009965C9" w:rsidRPr="00444D48">
        <w:rPr>
          <w:rFonts w:ascii="Arial" w:eastAsia="Times New Roman" w:hAnsi="Arial" w:cs="Arial"/>
          <w:sz w:val="23"/>
          <w:szCs w:val="23"/>
        </w:rPr>
        <w:t>l workshop in June, which had a </w:t>
      </w:r>
      <w:r w:rsidRPr="00444D48">
        <w:rPr>
          <w:rFonts w:ascii="Arial" w:eastAsia="Times New Roman" w:hAnsi="Arial" w:cs="Arial"/>
          <w:sz w:val="23"/>
          <w:szCs w:val="23"/>
        </w:rPr>
        <w:t xml:space="preserve">stronger emphasis on data issues and technical design. </w:t>
      </w:r>
    </w:p>
    <w:p w14:paraId="4D7F1A02" w14:textId="77777777" w:rsidR="00C437EF" w:rsidRPr="00444D48" w:rsidRDefault="00C437EF" w:rsidP="008B7B4E">
      <w:pPr>
        <w:spacing w:after="240" w:line="264" w:lineRule="auto"/>
        <w:rPr>
          <w:rFonts w:ascii="Arial" w:hAnsi="Arial" w:cs="Arial"/>
          <w:sz w:val="23"/>
          <w:szCs w:val="23"/>
        </w:rPr>
      </w:pPr>
      <w:r w:rsidRPr="00444D48">
        <w:rPr>
          <w:rFonts w:ascii="Arial" w:eastAsia="Times New Roman" w:hAnsi="Arial" w:cs="Arial"/>
          <w:sz w:val="23"/>
          <w:szCs w:val="23"/>
        </w:rPr>
        <w:t xml:space="preserve">A second series of national roundtables were conducted to test the analysis arising from the initial consultations, submissions and technical workshops. This phase of consultation sought to return to stakeholders who had previously been engaged in the process or lodged submissions to the public consultation website, including members of the Redfern Alliance, national peak bodies, national service providers, and other individuals and organisations. </w:t>
      </w:r>
      <w:r w:rsidR="0090154C" w:rsidRPr="00444D48">
        <w:rPr>
          <w:rFonts w:ascii="Arial" w:hAnsi="Arial" w:cs="Arial"/>
          <w:sz w:val="23"/>
          <w:szCs w:val="23"/>
        </w:rPr>
        <w:t>The </w:t>
      </w:r>
      <w:r w:rsidRPr="00444D48">
        <w:rPr>
          <w:rFonts w:ascii="Arial" w:hAnsi="Arial" w:cs="Arial"/>
          <w:sz w:val="23"/>
          <w:szCs w:val="23"/>
        </w:rPr>
        <w:t>outcomes of t</w:t>
      </w:r>
      <w:r w:rsidR="0068055E" w:rsidRPr="00444D48">
        <w:rPr>
          <w:rFonts w:ascii="Arial" w:hAnsi="Arial" w:cs="Arial"/>
          <w:sz w:val="23"/>
          <w:szCs w:val="23"/>
        </w:rPr>
        <w:t>his</w:t>
      </w:r>
      <w:r w:rsidRPr="00444D48">
        <w:rPr>
          <w:rFonts w:ascii="Arial" w:hAnsi="Arial" w:cs="Arial"/>
          <w:sz w:val="23"/>
          <w:szCs w:val="23"/>
        </w:rPr>
        <w:t xml:space="preserve"> phase </w:t>
      </w:r>
      <w:r w:rsidR="0068055E" w:rsidRPr="00444D48">
        <w:rPr>
          <w:rFonts w:ascii="Arial" w:hAnsi="Arial" w:cs="Arial"/>
          <w:sz w:val="23"/>
          <w:szCs w:val="23"/>
        </w:rPr>
        <w:t xml:space="preserve">of </w:t>
      </w:r>
      <w:r w:rsidRPr="00444D48">
        <w:rPr>
          <w:rFonts w:ascii="Arial" w:hAnsi="Arial" w:cs="Arial"/>
          <w:sz w:val="23"/>
          <w:szCs w:val="23"/>
        </w:rPr>
        <w:t xml:space="preserve">consultations were fed into discussions between governments in the lead up to the COAG meeting in </w:t>
      </w:r>
      <w:r w:rsidR="00BB1187" w:rsidRPr="00444D48">
        <w:rPr>
          <w:rFonts w:ascii="Arial" w:hAnsi="Arial" w:cs="Arial"/>
          <w:sz w:val="23"/>
          <w:szCs w:val="23"/>
        </w:rPr>
        <w:t>December</w:t>
      </w:r>
      <w:r w:rsidRPr="00444D48">
        <w:rPr>
          <w:rFonts w:ascii="Arial" w:hAnsi="Arial" w:cs="Arial"/>
          <w:sz w:val="23"/>
          <w:szCs w:val="23"/>
        </w:rPr>
        <w:t xml:space="preserve"> 2018.</w:t>
      </w:r>
    </w:p>
    <w:p w14:paraId="20159F9C" w14:textId="77777777" w:rsidR="008B7B4E" w:rsidRPr="00444D48" w:rsidRDefault="00333660" w:rsidP="008B7B4E">
      <w:pPr>
        <w:spacing w:after="240" w:line="264" w:lineRule="auto"/>
        <w:rPr>
          <w:rFonts w:ascii="Arial" w:hAnsi="Arial" w:cs="Arial"/>
          <w:sz w:val="23"/>
          <w:szCs w:val="23"/>
        </w:rPr>
      </w:pPr>
      <w:r w:rsidRPr="00444D48">
        <w:rPr>
          <w:rFonts w:ascii="Arial" w:hAnsi="Arial" w:cs="Arial"/>
          <w:sz w:val="23"/>
          <w:szCs w:val="23"/>
        </w:rPr>
        <w:t xml:space="preserve">States and territories held consultations over the same period to ensure views from across the </w:t>
      </w:r>
      <w:r w:rsidRPr="00444D48">
        <w:rPr>
          <w:rFonts w:ascii="Arial" w:eastAsia="Times New Roman" w:hAnsi="Arial" w:cs="Arial"/>
          <w:sz w:val="23"/>
          <w:szCs w:val="23"/>
        </w:rPr>
        <w:t>country</w:t>
      </w:r>
      <w:r w:rsidRPr="00444D48">
        <w:rPr>
          <w:rFonts w:ascii="Arial" w:hAnsi="Arial" w:cs="Arial"/>
          <w:sz w:val="23"/>
          <w:szCs w:val="23"/>
        </w:rPr>
        <w:t xml:space="preserve"> were heard and incorporated into the Refresh. </w:t>
      </w:r>
    </w:p>
    <w:p w14:paraId="7898F830" w14:textId="77777777" w:rsidR="00690810" w:rsidRPr="00444D48" w:rsidRDefault="00731FE2" w:rsidP="008B7B4E">
      <w:pPr>
        <w:spacing w:after="0" w:line="264" w:lineRule="auto"/>
        <w:rPr>
          <w:rFonts w:ascii="Arial" w:hAnsi="Arial" w:cs="Arial"/>
          <w:sz w:val="23"/>
          <w:szCs w:val="23"/>
        </w:rPr>
      </w:pPr>
      <w:r w:rsidRPr="00444D48">
        <w:rPr>
          <w:rFonts w:ascii="Arial" w:hAnsi="Arial" w:cs="Arial"/>
          <w:sz w:val="23"/>
          <w:szCs w:val="23"/>
        </w:rPr>
        <w:t xml:space="preserve">All governments remain committed to engaging with Aboriginal and Torres Strait Islander Australians and other stakeholders to finalise and implement the Closing the Gap Refresh. </w:t>
      </w:r>
    </w:p>
    <w:sectPr w:rsidR="00690810" w:rsidRPr="00444D48" w:rsidSect="008E6FEB">
      <w:pgSz w:w="11906" w:h="16838"/>
      <w:pgMar w:top="720" w:right="1133" w:bottom="720"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45B385" w14:textId="77777777" w:rsidR="00FC44F9" w:rsidRDefault="00FC44F9" w:rsidP="00656088">
      <w:pPr>
        <w:spacing w:after="0" w:line="240" w:lineRule="auto"/>
      </w:pPr>
      <w:r>
        <w:separator/>
      </w:r>
    </w:p>
  </w:endnote>
  <w:endnote w:type="continuationSeparator" w:id="0">
    <w:p w14:paraId="1504C053" w14:textId="77777777" w:rsidR="00FC44F9" w:rsidRDefault="00FC44F9" w:rsidP="00656088">
      <w:pPr>
        <w:spacing w:after="0" w:line="240" w:lineRule="auto"/>
      </w:pPr>
      <w:r>
        <w:continuationSeparator/>
      </w:r>
    </w:p>
  </w:endnote>
  <w:endnote w:type="continuationNotice" w:id="1">
    <w:p w14:paraId="120E7F50" w14:textId="77777777" w:rsidR="00FC44F9" w:rsidRDefault="00FC44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57DF9" w14:textId="77777777" w:rsidR="00D11374" w:rsidRPr="0090154C" w:rsidRDefault="00D11374" w:rsidP="00526D70">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764572" w14:textId="77777777" w:rsidR="00FC44F9" w:rsidRDefault="00FC44F9" w:rsidP="00656088">
      <w:pPr>
        <w:spacing w:after="0" w:line="240" w:lineRule="auto"/>
      </w:pPr>
      <w:r>
        <w:separator/>
      </w:r>
    </w:p>
  </w:footnote>
  <w:footnote w:type="continuationSeparator" w:id="0">
    <w:p w14:paraId="1752F192" w14:textId="77777777" w:rsidR="00FC44F9" w:rsidRDefault="00FC44F9" w:rsidP="00656088">
      <w:pPr>
        <w:spacing w:after="0" w:line="240" w:lineRule="auto"/>
      </w:pPr>
      <w:r>
        <w:continuationSeparator/>
      </w:r>
    </w:p>
  </w:footnote>
  <w:footnote w:type="continuationNotice" w:id="1">
    <w:p w14:paraId="5E249D20" w14:textId="77777777" w:rsidR="00FC44F9" w:rsidRDefault="00FC44F9">
      <w:pPr>
        <w:spacing w:after="0" w:line="240" w:lineRule="auto"/>
      </w:pPr>
    </w:p>
  </w:footnote>
  <w:footnote w:id="2">
    <w:p w14:paraId="3DACC671" w14:textId="77777777" w:rsidR="00D80258" w:rsidRDefault="00D80258">
      <w:pPr>
        <w:pStyle w:val="FootnoteText"/>
      </w:pPr>
      <w:r>
        <w:rPr>
          <w:rStyle w:val="FootnoteReference"/>
        </w:rPr>
        <w:footnoteRef/>
      </w:r>
      <w:r>
        <w:t xml:space="preserve"> Once proficiency measures are adopted in national reporting, this target could be re-calibrated to proficiency standards. This would be consistent with the approach being taken in the current schooling agreement.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20CF4"/>
    <w:multiLevelType w:val="hybridMultilevel"/>
    <w:tmpl w:val="0E089006"/>
    <w:lvl w:ilvl="0" w:tplc="D6FC175C">
      <w:start w:val="1"/>
      <w:numFmt w:val="decimal"/>
      <w:lvlText w:val="%1."/>
      <w:lvlJc w:val="left"/>
      <w:pPr>
        <w:ind w:left="360" w:hanging="360"/>
      </w:pPr>
      <w:rPr>
        <w:rFonts w:hint="default"/>
        <w:b/>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105B1F5D"/>
    <w:multiLevelType w:val="hybridMultilevel"/>
    <w:tmpl w:val="5B3A31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0624095"/>
    <w:multiLevelType w:val="hybridMultilevel"/>
    <w:tmpl w:val="678CD1A2"/>
    <w:lvl w:ilvl="0" w:tplc="FA762708">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28528C8"/>
    <w:multiLevelType w:val="hybridMultilevel"/>
    <w:tmpl w:val="7CF8B09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4AE7EAC"/>
    <w:multiLevelType w:val="hybridMultilevel"/>
    <w:tmpl w:val="B02ABD3C"/>
    <w:lvl w:ilvl="0" w:tplc="EB3AB96A">
      <w:numFmt w:val="bullet"/>
      <w:lvlText w:val="-"/>
      <w:lvlJc w:val="left"/>
      <w:pPr>
        <w:ind w:left="720" w:hanging="360"/>
      </w:pPr>
      <w:rPr>
        <w:rFonts w:ascii="Corbel" w:eastAsia="Times New Roman" w:hAnsi="Corbe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873173C"/>
    <w:multiLevelType w:val="multilevel"/>
    <w:tmpl w:val="D3FA9E7A"/>
    <w:lvl w:ilvl="0">
      <w:start w:val="1"/>
      <w:numFmt w:val="decimal"/>
      <w:pStyle w:val="Recommendation"/>
      <w:lvlText w:val="%1."/>
      <w:lvlJc w:val="left"/>
      <w:pPr>
        <w:tabs>
          <w:tab w:val="num" w:pos="454"/>
        </w:tabs>
        <w:ind w:left="454" w:hanging="454"/>
      </w:pPr>
      <w:rPr>
        <w:rFonts w:hint="default"/>
        <w:sz w:val="24"/>
        <w:szCs w:val="24"/>
      </w:rPr>
    </w:lvl>
    <w:lvl w:ilvl="1">
      <w:start w:val="1"/>
      <w:numFmt w:val="lowerLetter"/>
      <w:pStyle w:val="Recommendation-SubPoint"/>
      <w:lvlText w:val="%2."/>
      <w:lvlJc w:val="left"/>
      <w:pPr>
        <w:tabs>
          <w:tab w:val="num" w:pos="907"/>
        </w:tabs>
        <w:ind w:left="907" w:hanging="453"/>
      </w:pPr>
      <w:rPr>
        <w:rFonts w:hint="default"/>
        <w:sz w:val="24"/>
        <w:szCs w:val="24"/>
      </w:rPr>
    </w:lvl>
    <w:lvl w:ilvl="2">
      <w:start w:val="1"/>
      <w:numFmt w:val="lowerRoman"/>
      <w:pStyle w:val="Recommendation-SubSub-point"/>
      <w:lvlText w:val="%3."/>
      <w:lvlJc w:val="left"/>
      <w:pPr>
        <w:tabs>
          <w:tab w:val="num" w:pos="1361"/>
        </w:tabs>
        <w:ind w:left="1361" w:hanging="454"/>
      </w:pPr>
      <w:rPr>
        <w:rFonts w:cs="Times New Roman" w:hint="default"/>
        <w:b w:val="0"/>
        <w:bCs w:val="0"/>
        <w:i w:val="0"/>
        <w:iCs w:val="0"/>
        <w: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1984"/>
        </w:tabs>
        <w:ind w:left="1984" w:hanging="425"/>
      </w:pPr>
      <w:rPr>
        <w:rFonts w:hint="default"/>
      </w:rPr>
    </w:lvl>
    <w:lvl w:ilvl="4">
      <w:start w:val="1"/>
      <w:numFmt w:val="upperLetter"/>
      <w:lvlText w:val="%5%4."/>
      <w:lvlJc w:val="left"/>
      <w:pPr>
        <w:tabs>
          <w:tab w:val="num" w:pos="1984"/>
        </w:tabs>
        <w:ind w:left="1984" w:hanging="425"/>
      </w:pPr>
      <w:rPr>
        <w:rFonts w:hint="default"/>
      </w:rPr>
    </w:lvl>
    <w:lvl w:ilvl="5">
      <w:start w:val="1"/>
      <w:numFmt w:val="upperLetter"/>
      <w:lvlText w:val="%6%4."/>
      <w:lvlJc w:val="left"/>
      <w:pPr>
        <w:tabs>
          <w:tab w:val="num" w:pos="1984"/>
        </w:tabs>
        <w:ind w:left="1984" w:hanging="425"/>
      </w:pPr>
      <w:rPr>
        <w:rFonts w:hint="default"/>
      </w:rPr>
    </w:lvl>
    <w:lvl w:ilvl="6">
      <w:start w:val="1"/>
      <w:numFmt w:val="upperLetter"/>
      <w:lvlText w:val="%7%4."/>
      <w:lvlJc w:val="left"/>
      <w:pPr>
        <w:tabs>
          <w:tab w:val="num" w:pos="1984"/>
        </w:tabs>
        <w:ind w:left="1984" w:hanging="425"/>
      </w:pPr>
      <w:rPr>
        <w:rFonts w:hint="default"/>
      </w:rPr>
    </w:lvl>
    <w:lvl w:ilvl="7">
      <w:start w:val="1"/>
      <w:numFmt w:val="upperLetter"/>
      <w:lvlText w:val="%8%4."/>
      <w:lvlJc w:val="left"/>
      <w:pPr>
        <w:tabs>
          <w:tab w:val="num" w:pos="1984"/>
        </w:tabs>
        <w:ind w:left="1984" w:hanging="425"/>
      </w:pPr>
      <w:rPr>
        <w:rFonts w:hint="default"/>
      </w:rPr>
    </w:lvl>
    <w:lvl w:ilvl="8">
      <w:start w:val="1"/>
      <w:numFmt w:val="upperLetter"/>
      <w:lvlText w:val="%9%4."/>
      <w:lvlJc w:val="left"/>
      <w:pPr>
        <w:tabs>
          <w:tab w:val="num" w:pos="1984"/>
        </w:tabs>
        <w:ind w:left="1984" w:hanging="425"/>
      </w:pPr>
      <w:rPr>
        <w:rFonts w:hint="default"/>
      </w:rPr>
    </w:lvl>
  </w:abstractNum>
  <w:abstractNum w:abstractNumId="6" w15:restartNumberingAfterBreak="0">
    <w:nsid w:val="2074278F"/>
    <w:multiLevelType w:val="hybridMultilevel"/>
    <w:tmpl w:val="9E7A554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5211111"/>
    <w:multiLevelType w:val="hybridMultilevel"/>
    <w:tmpl w:val="F9969F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7440C8B"/>
    <w:multiLevelType w:val="multilevel"/>
    <w:tmpl w:val="86781ACC"/>
    <w:lvl w:ilvl="0">
      <w:start w:val="1"/>
      <w:numFmt w:val="decimal"/>
      <w:pStyle w:val="Bullet"/>
      <w:lvlText w:val="%1."/>
      <w:lvlJc w:val="left"/>
      <w:pPr>
        <w:tabs>
          <w:tab w:val="num" w:pos="283"/>
        </w:tabs>
        <w:ind w:left="283" w:hanging="283"/>
      </w:pPr>
      <w:rPr>
        <w:rFonts w:cs="Times New Roman"/>
        <w:b w:val="0"/>
        <w:i w:val="0"/>
      </w:rPr>
    </w:lvl>
    <w:lvl w:ilvl="1">
      <w:start w:val="1"/>
      <w:numFmt w:val="lowerLetter"/>
      <w:pStyle w:val="Dash"/>
      <w:lvlText w:val="%2)"/>
      <w:lvlJc w:val="left"/>
      <w:pPr>
        <w:tabs>
          <w:tab w:val="num" w:pos="567"/>
        </w:tabs>
        <w:ind w:left="567" w:hanging="284"/>
      </w:pPr>
      <w:rPr>
        <w:b w:val="0"/>
        <w:i w:val="0"/>
      </w:rPr>
    </w:lvl>
    <w:lvl w:ilvl="2">
      <w:start w:val="1"/>
      <w:numFmt w:val="bullet"/>
      <w:pStyle w:val="DoubleDot"/>
      <w:lvlText w:val=":"/>
      <w:lvlJc w:val="left"/>
      <w:pPr>
        <w:tabs>
          <w:tab w:val="num" w:pos="850"/>
        </w:tabs>
        <w:ind w:left="850" w:hanging="283"/>
      </w:pPr>
      <w:rPr>
        <w:rFonts w:ascii="Times New Roman" w:hAnsi="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9" w15:restartNumberingAfterBreak="0">
    <w:nsid w:val="2CD10969"/>
    <w:multiLevelType w:val="hybridMultilevel"/>
    <w:tmpl w:val="FD5C74B2"/>
    <w:lvl w:ilvl="0" w:tplc="262E30D8">
      <w:numFmt w:val="bullet"/>
      <w:lvlText w:val="-"/>
      <w:lvlJc w:val="left"/>
      <w:pPr>
        <w:ind w:left="360" w:hanging="360"/>
      </w:pPr>
      <w:rPr>
        <w:rFonts w:ascii="Calibri" w:eastAsiaTheme="minorHAnsi" w:hAnsi="Calibri" w:cs="Calibri" w:hint="default"/>
      </w:rPr>
    </w:lvl>
    <w:lvl w:ilvl="1" w:tplc="5EC07B28">
      <w:start w:val="2"/>
      <w:numFmt w:val="bullet"/>
      <w:lvlText w:val="-"/>
      <w:lvlJc w:val="left"/>
      <w:pPr>
        <w:ind w:left="1080" w:hanging="360"/>
      </w:pPr>
      <w:rPr>
        <w:rFonts w:ascii="Calibri" w:eastAsiaTheme="minorHAnsi" w:hAnsi="Calibri" w:cs="Arial"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0" w15:restartNumberingAfterBreak="0">
    <w:nsid w:val="367F6A45"/>
    <w:multiLevelType w:val="multilevel"/>
    <w:tmpl w:val="79E26B9C"/>
    <w:lvl w:ilvl="0">
      <w:start w:val="1"/>
      <w:numFmt w:val="decimal"/>
      <w:pStyle w:val="ListNumber"/>
      <w:lvlText w:val="%1."/>
      <w:lvlJc w:val="left"/>
      <w:pPr>
        <w:ind w:left="360" w:hanging="360"/>
      </w:pPr>
      <w:rPr>
        <w:rFonts w:hint="default"/>
        <w:i w:val="0"/>
      </w:rPr>
    </w:lvl>
    <w:lvl w:ilvl="1">
      <w:start w:val="1"/>
      <w:numFmt w:val="decimal"/>
      <w:pStyle w:val="ListNumber2"/>
      <w:lvlText w:val="%1.%2"/>
      <w:lvlJc w:val="left"/>
      <w:pPr>
        <w:tabs>
          <w:tab w:val="num" w:pos="432"/>
        </w:tabs>
        <w:ind w:left="432" w:hanging="432"/>
      </w:pPr>
      <w:rPr>
        <w:rFonts w:hint="default"/>
      </w:rPr>
    </w:lvl>
    <w:lvl w:ilvl="2">
      <w:start w:val="1"/>
      <w:numFmt w:val="lowerLetter"/>
      <w:pStyle w:val="ListNumber3"/>
      <w:lvlText w:val="%3."/>
      <w:lvlJc w:val="left"/>
      <w:pPr>
        <w:ind w:left="792" w:hanging="360"/>
      </w:pPr>
      <w:rPr>
        <w:rFonts w:hint="default"/>
      </w:rPr>
    </w:lvl>
    <w:lvl w:ilvl="3">
      <w:start w:val="1"/>
      <w:numFmt w:val="lowerRoman"/>
      <w:pStyle w:val="ListNumber4"/>
      <w:lvlText w:val="%4."/>
      <w:lvlJc w:val="left"/>
      <w:pPr>
        <w:ind w:left="1152" w:hanging="360"/>
      </w:pPr>
      <w:rPr>
        <w:rFonts w:hint="default"/>
      </w:rPr>
    </w:lvl>
    <w:lvl w:ilvl="4">
      <w:start w:val="1"/>
      <w:numFmt w:val="lowerLetter"/>
      <w:pStyle w:val="ListNumber5"/>
      <w:lvlText w:val="(%5)"/>
      <w:lvlJc w:val="left"/>
      <w:pPr>
        <w:ind w:left="1512" w:hanging="360"/>
      </w:pPr>
      <w:rPr>
        <w:rFonts w:hint="default"/>
      </w:rPr>
    </w:lvl>
    <w:lvl w:ilvl="5">
      <w:start w:val="1"/>
      <w:numFmt w:val="lowerRoman"/>
      <w:lvlText w:val="(%6)"/>
      <w:lvlJc w:val="left"/>
      <w:pPr>
        <w:ind w:left="1872" w:hanging="360"/>
      </w:pPr>
      <w:rPr>
        <w:rFonts w:hint="default"/>
      </w:rPr>
    </w:lvl>
    <w:lvl w:ilvl="6">
      <w:start w:val="1"/>
      <w:numFmt w:val="decimal"/>
      <w:lvlText w:val="%7."/>
      <w:lvlJc w:val="left"/>
      <w:pPr>
        <w:ind w:left="2232" w:hanging="360"/>
      </w:pPr>
      <w:rPr>
        <w:rFonts w:hint="default"/>
      </w:rPr>
    </w:lvl>
    <w:lvl w:ilvl="7">
      <w:start w:val="1"/>
      <w:numFmt w:val="lowerLetter"/>
      <w:lvlText w:val="%8."/>
      <w:lvlJc w:val="left"/>
      <w:pPr>
        <w:ind w:left="2592" w:hanging="360"/>
      </w:pPr>
      <w:rPr>
        <w:rFonts w:hint="default"/>
      </w:rPr>
    </w:lvl>
    <w:lvl w:ilvl="8">
      <w:start w:val="1"/>
      <w:numFmt w:val="lowerRoman"/>
      <w:lvlText w:val="%9."/>
      <w:lvlJc w:val="left"/>
      <w:pPr>
        <w:ind w:left="2952" w:hanging="360"/>
      </w:pPr>
      <w:rPr>
        <w:rFonts w:hint="default"/>
      </w:rPr>
    </w:lvl>
  </w:abstractNum>
  <w:abstractNum w:abstractNumId="11" w15:restartNumberingAfterBreak="0">
    <w:nsid w:val="3ABC04BB"/>
    <w:multiLevelType w:val="hybridMultilevel"/>
    <w:tmpl w:val="6F441B9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BBB4575"/>
    <w:multiLevelType w:val="multilevel"/>
    <w:tmpl w:val="B9385130"/>
    <w:lvl w:ilvl="0">
      <w:start w:val="1"/>
      <w:numFmt w:val="decimal"/>
      <w:pStyle w:val="Heading1"/>
      <w:lvlText w:val="%1"/>
      <w:lvlJc w:val="left"/>
      <w:pPr>
        <w:ind w:left="360" w:hanging="360"/>
      </w:pPr>
      <w:rPr>
        <w:sz w:val="28"/>
      </w:rPr>
    </w:lvl>
    <w:lvl w:ilvl="1">
      <w:start w:val="1"/>
      <w:numFmt w:val="decimal"/>
      <w:pStyle w:val="CAB-NumberedParagraph"/>
      <w:lvlText w:val="%1.%2"/>
      <w:lvlJc w:val="left"/>
      <w:pPr>
        <w:tabs>
          <w:tab w:val="num" w:pos="340"/>
        </w:tabs>
        <w:ind w:left="340" w:firstLine="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F193EB6"/>
    <w:multiLevelType w:val="hybridMultilevel"/>
    <w:tmpl w:val="D946D35E"/>
    <w:lvl w:ilvl="0" w:tplc="2974D318">
      <w:numFmt w:val="bullet"/>
      <w:lvlText w:val="-"/>
      <w:lvlJc w:val="left"/>
      <w:pPr>
        <w:ind w:left="720" w:hanging="360"/>
      </w:pPr>
      <w:rPr>
        <w:rFonts w:ascii="Arial" w:eastAsiaTheme="minorHAnsi" w:hAnsi="Arial" w:cs="Arial" w:hint="default"/>
        <w:b/>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FF65560"/>
    <w:multiLevelType w:val="multilevel"/>
    <w:tmpl w:val="F454E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8B0F84"/>
    <w:multiLevelType w:val="hybridMultilevel"/>
    <w:tmpl w:val="53DEFA22"/>
    <w:lvl w:ilvl="0" w:tplc="262E30D8">
      <w:numFmt w:val="bullet"/>
      <w:lvlText w:val="-"/>
      <w:lvlJc w:val="left"/>
      <w:pPr>
        <w:ind w:left="360" w:hanging="360"/>
      </w:pPr>
      <w:rPr>
        <w:rFonts w:ascii="Calibri" w:eastAsiaTheme="minorHAnsi" w:hAnsi="Calibri" w:cs="Calibri"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59B70749"/>
    <w:multiLevelType w:val="multilevel"/>
    <w:tmpl w:val="5EA664F6"/>
    <w:lvl w:ilvl="0">
      <w:start w:val="1"/>
      <w:numFmt w:val="lowerLetter"/>
      <w:lvlRestart w:val="0"/>
      <w:lvlText w:val="(%1)"/>
      <w:lvlJc w:val="left"/>
      <w:pPr>
        <w:tabs>
          <w:tab w:val="num" w:pos="1134"/>
        </w:tabs>
        <w:ind w:left="567"/>
      </w:pPr>
      <w:rPr>
        <w:rFonts w:cs="Times New Roman" w:hint="default"/>
        <w:b w:val="0"/>
        <w:i w:val="0"/>
        <w:color w:val="44546A" w:themeColor="text2"/>
      </w:rPr>
    </w:lvl>
    <w:lvl w:ilvl="1">
      <w:start w:val="1"/>
      <w:numFmt w:val="decimal"/>
      <w:lvlText w:val="%2"/>
      <w:lvlJc w:val="left"/>
      <w:pPr>
        <w:tabs>
          <w:tab w:val="num" w:pos="1134"/>
        </w:tabs>
        <w:ind w:left="1134" w:hanging="567"/>
      </w:pPr>
      <w:rPr>
        <w:rFonts w:cs="Times New Roman" w:hint="default"/>
        <w:b w:val="0"/>
        <w:i w:val="0"/>
        <w:color w:val="000000"/>
      </w:rPr>
    </w:lvl>
    <w:lvl w:ilvl="2">
      <w:start w:val="1"/>
      <w:numFmt w:val="decimal"/>
      <w:lvlText w:val="%3"/>
      <w:lvlJc w:val="left"/>
      <w:pPr>
        <w:tabs>
          <w:tab w:val="num" w:pos="1701"/>
        </w:tabs>
        <w:ind w:left="1701" w:hanging="567"/>
      </w:pPr>
      <w:rPr>
        <w:rFonts w:cs="Times New Roman" w:hint="default"/>
        <w:b w:val="0"/>
        <w:i w:val="0"/>
        <w:color w:val="000000"/>
      </w:rPr>
    </w:lvl>
    <w:lvl w:ilvl="3">
      <w:start w:val="1"/>
      <w:numFmt w:val="decimal"/>
      <w:lvlText w:val="%4"/>
      <w:lvlJc w:val="left"/>
      <w:pPr>
        <w:tabs>
          <w:tab w:val="num" w:pos="2268"/>
        </w:tabs>
        <w:ind w:left="2268" w:hanging="567"/>
      </w:pPr>
      <w:rPr>
        <w:rFonts w:cs="Times New Roman" w:hint="default"/>
        <w:b w:val="0"/>
        <w:i w:val="0"/>
        <w:color w:val="000000"/>
      </w:rPr>
    </w:lvl>
    <w:lvl w:ilvl="4">
      <w:start w:val="1"/>
      <w:numFmt w:val="decimal"/>
      <w:lvlText w:val="%5"/>
      <w:lvlJc w:val="left"/>
      <w:pPr>
        <w:tabs>
          <w:tab w:val="num" w:pos="2835"/>
        </w:tabs>
        <w:ind w:left="2835" w:hanging="567"/>
      </w:pPr>
      <w:rPr>
        <w:rFonts w:cs="Times New Roman" w:hint="default"/>
        <w:b w:val="0"/>
        <w:i w:val="0"/>
        <w:color w:val="000000"/>
      </w:rPr>
    </w:lvl>
    <w:lvl w:ilvl="5">
      <w:start w:val="1"/>
      <w:numFmt w:val="decimal"/>
      <w:lvlText w:val="%6"/>
      <w:lvlJc w:val="left"/>
      <w:pPr>
        <w:tabs>
          <w:tab w:val="num" w:pos="3402"/>
        </w:tabs>
        <w:ind w:left="3402" w:hanging="567"/>
      </w:pPr>
      <w:rPr>
        <w:rFonts w:cs="Times New Roman" w:hint="default"/>
        <w:b w:val="0"/>
        <w:i w:val="0"/>
        <w:color w:val="000000"/>
      </w:rPr>
    </w:lvl>
    <w:lvl w:ilvl="6">
      <w:start w:val="1"/>
      <w:numFmt w:val="decimal"/>
      <w:lvlText w:val="%7"/>
      <w:lvlJc w:val="left"/>
      <w:pPr>
        <w:tabs>
          <w:tab w:val="num" w:pos="3969"/>
        </w:tabs>
        <w:ind w:left="3969" w:hanging="567"/>
      </w:pPr>
      <w:rPr>
        <w:rFonts w:cs="Times New Roman" w:hint="default"/>
        <w:b w:val="0"/>
        <w:i w:val="0"/>
        <w:color w:val="000000"/>
      </w:rPr>
    </w:lvl>
    <w:lvl w:ilvl="7">
      <w:start w:val="1"/>
      <w:numFmt w:val="decimal"/>
      <w:lvlText w:val="%8"/>
      <w:lvlJc w:val="left"/>
      <w:pPr>
        <w:tabs>
          <w:tab w:val="num" w:pos="4536"/>
        </w:tabs>
        <w:ind w:left="4536" w:hanging="567"/>
      </w:pPr>
      <w:rPr>
        <w:rFonts w:cs="Times New Roman" w:hint="default"/>
        <w:b w:val="0"/>
        <w:i w:val="0"/>
        <w:color w:val="000000"/>
      </w:rPr>
    </w:lvl>
    <w:lvl w:ilvl="8">
      <w:start w:val="1"/>
      <w:numFmt w:val="decimal"/>
      <w:lvlText w:val="%9"/>
      <w:lvlJc w:val="left"/>
      <w:pPr>
        <w:tabs>
          <w:tab w:val="num" w:pos="5103"/>
        </w:tabs>
        <w:ind w:left="5103" w:hanging="567"/>
      </w:pPr>
      <w:rPr>
        <w:rFonts w:cs="Times New Roman" w:hint="default"/>
        <w:b w:val="0"/>
        <w:i w:val="0"/>
        <w:color w:val="000000"/>
      </w:rPr>
    </w:lvl>
  </w:abstractNum>
  <w:abstractNum w:abstractNumId="17" w15:restartNumberingAfterBreak="0">
    <w:nsid w:val="5BBF723D"/>
    <w:multiLevelType w:val="hybridMultilevel"/>
    <w:tmpl w:val="D81ADD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CE04E9D"/>
    <w:multiLevelType w:val="hybridMultilevel"/>
    <w:tmpl w:val="20C81292"/>
    <w:lvl w:ilvl="0" w:tplc="55A28A2C">
      <w:start w:val="10"/>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BDF25B7"/>
    <w:multiLevelType w:val="hybridMultilevel"/>
    <w:tmpl w:val="FA5EA500"/>
    <w:lvl w:ilvl="0" w:tplc="87C2C7D0">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C181B3A"/>
    <w:multiLevelType w:val="hybridMultilevel"/>
    <w:tmpl w:val="664A9AF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6CCA4DBF"/>
    <w:multiLevelType w:val="hybridMultilevel"/>
    <w:tmpl w:val="9E6646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2"/>
  </w:num>
  <w:num w:numId="5">
    <w:abstractNumId w:val="19"/>
  </w:num>
  <w:num w:numId="6">
    <w:abstractNumId w:val="1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0"/>
  </w:num>
  <w:num w:numId="10">
    <w:abstractNumId w:val="6"/>
  </w:num>
  <w:num w:numId="11">
    <w:abstractNumId w:val="20"/>
  </w:num>
  <w:num w:numId="12">
    <w:abstractNumId w:val="17"/>
  </w:num>
  <w:num w:numId="13">
    <w:abstractNumId w:val="1"/>
  </w:num>
  <w:num w:numId="14">
    <w:abstractNumId w:val="4"/>
  </w:num>
  <w:num w:numId="15">
    <w:abstractNumId w:val="7"/>
  </w:num>
  <w:num w:numId="16">
    <w:abstractNumId w:val="14"/>
  </w:num>
  <w:num w:numId="17">
    <w:abstractNumId w:val="15"/>
  </w:num>
  <w:num w:numId="18">
    <w:abstractNumId w:val="21"/>
  </w:num>
  <w:num w:numId="19">
    <w:abstractNumId w:val="5"/>
  </w:num>
  <w:num w:numId="20">
    <w:abstractNumId w:val="7"/>
  </w:num>
  <w:num w:numId="21">
    <w:abstractNumId w:val="13"/>
  </w:num>
  <w:num w:numId="22">
    <w:abstractNumId w:val="11"/>
  </w:num>
  <w:num w:numId="23">
    <w:abstractNumId w:val="3"/>
  </w:num>
  <w:num w:numId="24">
    <w:abstractNumId w:val="10"/>
  </w:num>
  <w:num w:numId="25">
    <w:abstractNumId w:val="8"/>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fr-FR" w:vendorID="64" w:dllVersion="131078" w:nlCheck="1" w:checkStyle="0"/>
  <w:activeWritingStyle w:appName="MSWord" w:lang="en-AU" w:vendorID="64" w:dllVersion="131078" w:nlCheck="1" w:checkStyle="0"/>
  <w:activeWritingStyle w:appName="MSWord" w:lang="en-US" w:vendorID="64" w:dllVersion="131078" w:nlCheck="1" w:checkStyle="0"/>
  <w:activeWritingStyle w:appName="MSWord" w:lang="en-GB" w:vendorID="64" w:dllVersion="131078" w:nlCheck="1" w:checkStyle="1"/>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CF8"/>
    <w:rsid w:val="0000053B"/>
    <w:rsid w:val="00001EBB"/>
    <w:rsid w:val="000023F7"/>
    <w:rsid w:val="000025AA"/>
    <w:rsid w:val="00004491"/>
    <w:rsid w:val="00006DC4"/>
    <w:rsid w:val="00007115"/>
    <w:rsid w:val="00010548"/>
    <w:rsid w:val="00011109"/>
    <w:rsid w:val="00012048"/>
    <w:rsid w:val="000121CD"/>
    <w:rsid w:val="00017908"/>
    <w:rsid w:val="000206EE"/>
    <w:rsid w:val="00020861"/>
    <w:rsid w:val="00021174"/>
    <w:rsid w:val="00025089"/>
    <w:rsid w:val="00030FB6"/>
    <w:rsid w:val="000341C0"/>
    <w:rsid w:val="00034887"/>
    <w:rsid w:val="00035FD5"/>
    <w:rsid w:val="000413BD"/>
    <w:rsid w:val="000510DE"/>
    <w:rsid w:val="00051D31"/>
    <w:rsid w:val="0005781D"/>
    <w:rsid w:val="00060976"/>
    <w:rsid w:val="00061449"/>
    <w:rsid w:val="000617AE"/>
    <w:rsid w:val="0006315B"/>
    <w:rsid w:val="0006320F"/>
    <w:rsid w:val="00063E9A"/>
    <w:rsid w:val="00064E4B"/>
    <w:rsid w:val="00066313"/>
    <w:rsid w:val="0007328F"/>
    <w:rsid w:val="000741A7"/>
    <w:rsid w:val="000742E7"/>
    <w:rsid w:val="000769FD"/>
    <w:rsid w:val="00084E44"/>
    <w:rsid w:val="0008546A"/>
    <w:rsid w:val="000908E3"/>
    <w:rsid w:val="00090BB9"/>
    <w:rsid w:val="00092A93"/>
    <w:rsid w:val="000954EF"/>
    <w:rsid w:val="000A0C64"/>
    <w:rsid w:val="000A1EF4"/>
    <w:rsid w:val="000A3AF4"/>
    <w:rsid w:val="000A43D7"/>
    <w:rsid w:val="000A60AC"/>
    <w:rsid w:val="000A6A56"/>
    <w:rsid w:val="000B0896"/>
    <w:rsid w:val="000B0B45"/>
    <w:rsid w:val="000B2503"/>
    <w:rsid w:val="000B2E77"/>
    <w:rsid w:val="000B5701"/>
    <w:rsid w:val="000C3B52"/>
    <w:rsid w:val="000C5C69"/>
    <w:rsid w:val="000D0723"/>
    <w:rsid w:val="000D3A8C"/>
    <w:rsid w:val="000D3D1E"/>
    <w:rsid w:val="000D5679"/>
    <w:rsid w:val="000D760F"/>
    <w:rsid w:val="000E0B2D"/>
    <w:rsid w:val="000E1F7D"/>
    <w:rsid w:val="000E45FA"/>
    <w:rsid w:val="000E6AC3"/>
    <w:rsid w:val="000E72C9"/>
    <w:rsid w:val="000F0D49"/>
    <w:rsid w:val="000F0E1D"/>
    <w:rsid w:val="000F1436"/>
    <w:rsid w:val="000F1EEA"/>
    <w:rsid w:val="000F4579"/>
    <w:rsid w:val="000F4A23"/>
    <w:rsid w:val="000F530C"/>
    <w:rsid w:val="000F719D"/>
    <w:rsid w:val="00101823"/>
    <w:rsid w:val="0010195F"/>
    <w:rsid w:val="00103516"/>
    <w:rsid w:val="0010779C"/>
    <w:rsid w:val="001110CA"/>
    <w:rsid w:val="00111991"/>
    <w:rsid w:val="00113174"/>
    <w:rsid w:val="001134CA"/>
    <w:rsid w:val="0011481C"/>
    <w:rsid w:val="0011517E"/>
    <w:rsid w:val="00115A62"/>
    <w:rsid w:val="00115EB0"/>
    <w:rsid w:val="00116469"/>
    <w:rsid w:val="001216DB"/>
    <w:rsid w:val="001221F7"/>
    <w:rsid w:val="00122759"/>
    <w:rsid w:val="001256B5"/>
    <w:rsid w:val="00125A71"/>
    <w:rsid w:val="00131355"/>
    <w:rsid w:val="00131574"/>
    <w:rsid w:val="00132AC0"/>
    <w:rsid w:val="00132B7A"/>
    <w:rsid w:val="001334C0"/>
    <w:rsid w:val="001369B5"/>
    <w:rsid w:val="001417DE"/>
    <w:rsid w:val="001470C9"/>
    <w:rsid w:val="001536CD"/>
    <w:rsid w:val="00153B3D"/>
    <w:rsid w:val="0015536A"/>
    <w:rsid w:val="00155CEE"/>
    <w:rsid w:val="001603D2"/>
    <w:rsid w:val="00161C12"/>
    <w:rsid w:val="001622A4"/>
    <w:rsid w:val="00162C32"/>
    <w:rsid w:val="00163380"/>
    <w:rsid w:val="0016366E"/>
    <w:rsid w:val="0016375B"/>
    <w:rsid w:val="00164DDD"/>
    <w:rsid w:val="0016786E"/>
    <w:rsid w:val="001678FD"/>
    <w:rsid w:val="0017084F"/>
    <w:rsid w:val="001724CE"/>
    <w:rsid w:val="001739DF"/>
    <w:rsid w:val="00173B92"/>
    <w:rsid w:val="00181CB6"/>
    <w:rsid w:val="001828C5"/>
    <w:rsid w:val="00182B71"/>
    <w:rsid w:val="00183E92"/>
    <w:rsid w:val="0018432B"/>
    <w:rsid w:val="0018475B"/>
    <w:rsid w:val="00185D5F"/>
    <w:rsid w:val="001868B2"/>
    <w:rsid w:val="0018742E"/>
    <w:rsid w:val="00187831"/>
    <w:rsid w:val="00194032"/>
    <w:rsid w:val="00194555"/>
    <w:rsid w:val="00194F9B"/>
    <w:rsid w:val="00197A6F"/>
    <w:rsid w:val="00197BE7"/>
    <w:rsid w:val="001A3068"/>
    <w:rsid w:val="001A402F"/>
    <w:rsid w:val="001A50D6"/>
    <w:rsid w:val="001A6367"/>
    <w:rsid w:val="001B2832"/>
    <w:rsid w:val="001B377C"/>
    <w:rsid w:val="001B48D1"/>
    <w:rsid w:val="001B7C74"/>
    <w:rsid w:val="001C017D"/>
    <w:rsid w:val="001C6ABF"/>
    <w:rsid w:val="001C6DEB"/>
    <w:rsid w:val="001C7463"/>
    <w:rsid w:val="001C7865"/>
    <w:rsid w:val="001D067B"/>
    <w:rsid w:val="001D3787"/>
    <w:rsid w:val="001D3E59"/>
    <w:rsid w:val="001D4347"/>
    <w:rsid w:val="001E1C5A"/>
    <w:rsid w:val="001E1E29"/>
    <w:rsid w:val="001E2C72"/>
    <w:rsid w:val="001E3510"/>
    <w:rsid w:val="001E58BF"/>
    <w:rsid w:val="001E5F00"/>
    <w:rsid w:val="001E6ADD"/>
    <w:rsid w:val="001E6B3E"/>
    <w:rsid w:val="001E6E58"/>
    <w:rsid w:val="001F0F73"/>
    <w:rsid w:val="001F12DC"/>
    <w:rsid w:val="001F1883"/>
    <w:rsid w:val="001F2119"/>
    <w:rsid w:val="001F312E"/>
    <w:rsid w:val="001F408B"/>
    <w:rsid w:val="00201C1B"/>
    <w:rsid w:val="0020334C"/>
    <w:rsid w:val="0020347A"/>
    <w:rsid w:val="00204042"/>
    <w:rsid w:val="0020485F"/>
    <w:rsid w:val="00204A5D"/>
    <w:rsid w:val="00205479"/>
    <w:rsid w:val="00205798"/>
    <w:rsid w:val="00210AD6"/>
    <w:rsid w:val="00211478"/>
    <w:rsid w:val="002122EF"/>
    <w:rsid w:val="00212A89"/>
    <w:rsid w:val="00212D5E"/>
    <w:rsid w:val="0021606E"/>
    <w:rsid w:val="002161B7"/>
    <w:rsid w:val="00216B28"/>
    <w:rsid w:val="00217240"/>
    <w:rsid w:val="0021783D"/>
    <w:rsid w:val="00217DE6"/>
    <w:rsid w:val="00221436"/>
    <w:rsid w:val="002215BB"/>
    <w:rsid w:val="00223F21"/>
    <w:rsid w:val="00224676"/>
    <w:rsid w:val="00232DDA"/>
    <w:rsid w:val="00234213"/>
    <w:rsid w:val="00235809"/>
    <w:rsid w:val="00236729"/>
    <w:rsid w:val="00236DAE"/>
    <w:rsid w:val="00241D69"/>
    <w:rsid w:val="002429AD"/>
    <w:rsid w:val="00245618"/>
    <w:rsid w:val="0024603E"/>
    <w:rsid w:val="002462FE"/>
    <w:rsid w:val="00250EAE"/>
    <w:rsid w:val="0026111D"/>
    <w:rsid w:val="00263D68"/>
    <w:rsid w:val="002664C1"/>
    <w:rsid w:val="00270CBB"/>
    <w:rsid w:val="002731D3"/>
    <w:rsid w:val="00273251"/>
    <w:rsid w:val="00274BCA"/>
    <w:rsid w:val="002777E9"/>
    <w:rsid w:val="00283074"/>
    <w:rsid w:val="00284031"/>
    <w:rsid w:val="002845FE"/>
    <w:rsid w:val="00284C59"/>
    <w:rsid w:val="00287085"/>
    <w:rsid w:val="00290C1D"/>
    <w:rsid w:val="00290FDF"/>
    <w:rsid w:val="002947B1"/>
    <w:rsid w:val="00294C3C"/>
    <w:rsid w:val="00295234"/>
    <w:rsid w:val="00295C80"/>
    <w:rsid w:val="002A09CE"/>
    <w:rsid w:val="002A3C27"/>
    <w:rsid w:val="002A4D11"/>
    <w:rsid w:val="002A58F3"/>
    <w:rsid w:val="002B0C20"/>
    <w:rsid w:val="002B191E"/>
    <w:rsid w:val="002B2248"/>
    <w:rsid w:val="002B29B4"/>
    <w:rsid w:val="002B3406"/>
    <w:rsid w:val="002B4C64"/>
    <w:rsid w:val="002C0AFB"/>
    <w:rsid w:val="002C1000"/>
    <w:rsid w:val="002C1FD2"/>
    <w:rsid w:val="002C5384"/>
    <w:rsid w:val="002C6976"/>
    <w:rsid w:val="002C6A05"/>
    <w:rsid w:val="002C6FAD"/>
    <w:rsid w:val="002C771B"/>
    <w:rsid w:val="002D0DF0"/>
    <w:rsid w:val="002D1C87"/>
    <w:rsid w:val="002D1F6F"/>
    <w:rsid w:val="002D30DA"/>
    <w:rsid w:val="002D3F8D"/>
    <w:rsid w:val="002D48D9"/>
    <w:rsid w:val="002D4A14"/>
    <w:rsid w:val="002D4B14"/>
    <w:rsid w:val="002D5459"/>
    <w:rsid w:val="002D5F2C"/>
    <w:rsid w:val="002D7DD6"/>
    <w:rsid w:val="002E0414"/>
    <w:rsid w:val="002E0BCE"/>
    <w:rsid w:val="002F10D4"/>
    <w:rsid w:val="002F1ADB"/>
    <w:rsid w:val="002F2AA2"/>
    <w:rsid w:val="002F5D4F"/>
    <w:rsid w:val="0030039C"/>
    <w:rsid w:val="003015C3"/>
    <w:rsid w:val="00303A9F"/>
    <w:rsid w:val="00303C11"/>
    <w:rsid w:val="00303E19"/>
    <w:rsid w:val="0030695F"/>
    <w:rsid w:val="00307A3C"/>
    <w:rsid w:val="0031257D"/>
    <w:rsid w:val="00313BC8"/>
    <w:rsid w:val="00313D49"/>
    <w:rsid w:val="003142CB"/>
    <w:rsid w:val="003145A2"/>
    <w:rsid w:val="00320162"/>
    <w:rsid w:val="00325298"/>
    <w:rsid w:val="00326561"/>
    <w:rsid w:val="0032760C"/>
    <w:rsid w:val="00330D7B"/>
    <w:rsid w:val="0033133E"/>
    <w:rsid w:val="00333660"/>
    <w:rsid w:val="003343FB"/>
    <w:rsid w:val="00334807"/>
    <w:rsid w:val="00335831"/>
    <w:rsid w:val="00336041"/>
    <w:rsid w:val="0034020F"/>
    <w:rsid w:val="00340ACB"/>
    <w:rsid w:val="0034170A"/>
    <w:rsid w:val="0034317A"/>
    <w:rsid w:val="00343F43"/>
    <w:rsid w:val="003442B2"/>
    <w:rsid w:val="00344A5D"/>
    <w:rsid w:val="00352122"/>
    <w:rsid w:val="00352C6C"/>
    <w:rsid w:val="003568C5"/>
    <w:rsid w:val="0035772B"/>
    <w:rsid w:val="00357B2D"/>
    <w:rsid w:val="0036238E"/>
    <w:rsid w:val="003631B1"/>
    <w:rsid w:val="0036373F"/>
    <w:rsid w:val="00363F52"/>
    <w:rsid w:val="00364DC0"/>
    <w:rsid w:val="00371DB9"/>
    <w:rsid w:val="00371FAA"/>
    <w:rsid w:val="00372836"/>
    <w:rsid w:val="00375FC1"/>
    <w:rsid w:val="0037654D"/>
    <w:rsid w:val="00376876"/>
    <w:rsid w:val="00376938"/>
    <w:rsid w:val="003772F7"/>
    <w:rsid w:val="00384270"/>
    <w:rsid w:val="00386104"/>
    <w:rsid w:val="003866AF"/>
    <w:rsid w:val="00393636"/>
    <w:rsid w:val="00395575"/>
    <w:rsid w:val="0039575D"/>
    <w:rsid w:val="00395BB0"/>
    <w:rsid w:val="003972E5"/>
    <w:rsid w:val="003A26C3"/>
    <w:rsid w:val="003A4B8D"/>
    <w:rsid w:val="003A5B2D"/>
    <w:rsid w:val="003A6238"/>
    <w:rsid w:val="003A6E97"/>
    <w:rsid w:val="003B07AD"/>
    <w:rsid w:val="003B31AE"/>
    <w:rsid w:val="003B3BB0"/>
    <w:rsid w:val="003B4822"/>
    <w:rsid w:val="003B4E18"/>
    <w:rsid w:val="003B4FD6"/>
    <w:rsid w:val="003B6859"/>
    <w:rsid w:val="003C116E"/>
    <w:rsid w:val="003C1462"/>
    <w:rsid w:val="003C15C5"/>
    <w:rsid w:val="003C15FB"/>
    <w:rsid w:val="003C31DB"/>
    <w:rsid w:val="003C36D7"/>
    <w:rsid w:val="003D0A02"/>
    <w:rsid w:val="003D1A9B"/>
    <w:rsid w:val="003D24D9"/>
    <w:rsid w:val="003D2673"/>
    <w:rsid w:val="003D30C1"/>
    <w:rsid w:val="003D3674"/>
    <w:rsid w:val="003E56BC"/>
    <w:rsid w:val="003E63F3"/>
    <w:rsid w:val="003E7AFD"/>
    <w:rsid w:val="003F062B"/>
    <w:rsid w:val="003F13C2"/>
    <w:rsid w:val="003F15B1"/>
    <w:rsid w:val="003F2765"/>
    <w:rsid w:val="003F2AD2"/>
    <w:rsid w:val="003F37E7"/>
    <w:rsid w:val="003F3885"/>
    <w:rsid w:val="003F53B4"/>
    <w:rsid w:val="003F5489"/>
    <w:rsid w:val="004004C3"/>
    <w:rsid w:val="00400CB4"/>
    <w:rsid w:val="0040119D"/>
    <w:rsid w:val="00404030"/>
    <w:rsid w:val="004052BE"/>
    <w:rsid w:val="004073EB"/>
    <w:rsid w:val="00410B0C"/>
    <w:rsid w:val="00411BE9"/>
    <w:rsid w:val="00411D8A"/>
    <w:rsid w:val="00413DB6"/>
    <w:rsid w:val="00413F7C"/>
    <w:rsid w:val="00414515"/>
    <w:rsid w:val="00414675"/>
    <w:rsid w:val="00420AA9"/>
    <w:rsid w:val="00423068"/>
    <w:rsid w:val="00430B35"/>
    <w:rsid w:val="00431A83"/>
    <w:rsid w:val="00431FD6"/>
    <w:rsid w:val="004348A8"/>
    <w:rsid w:val="004354B8"/>
    <w:rsid w:val="00441554"/>
    <w:rsid w:val="00442430"/>
    <w:rsid w:val="004426D1"/>
    <w:rsid w:val="00443ED5"/>
    <w:rsid w:val="00444294"/>
    <w:rsid w:val="00444D48"/>
    <w:rsid w:val="00446414"/>
    <w:rsid w:val="00452AC5"/>
    <w:rsid w:val="00457309"/>
    <w:rsid w:val="00462392"/>
    <w:rsid w:val="00462C67"/>
    <w:rsid w:val="0046475A"/>
    <w:rsid w:val="00466802"/>
    <w:rsid w:val="00467345"/>
    <w:rsid w:val="004702BB"/>
    <w:rsid w:val="00470478"/>
    <w:rsid w:val="004707AF"/>
    <w:rsid w:val="00470BD7"/>
    <w:rsid w:val="004738ED"/>
    <w:rsid w:val="00475F34"/>
    <w:rsid w:val="00477CF5"/>
    <w:rsid w:val="004804E4"/>
    <w:rsid w:val="00480566"/>
    <w:rsid w:val="00480CEC"/>
    <w:rsid w:val="00480DB9"/>
    <w:rsid w:val="00482A99"/>
    <w:rsid w:val="0048349E"/>
    <w:rsid w:val="004841F8"/>
    <w:rsid w:val="004842D7"/>
    <w:rsid w:val="004864EC"/>
    <w:rsid w:val="004901DC"/>
    <w:rsid w:val="004928F4"/>
    <w:rsid w:val="00493FE3"/>
    <w:rsid w:val="004954BC"/>
    <w:rsid w:val="00495E75"/>
    <w:rsid w:val="004A02DA"/>
    <w:rsid w:val="004A1534"/>
    <w:rsid w:val="004A56A8"/>
    <w:rsid w:val="004A6F14"/>
    <w:rsid w:val="004B302A"/>
    <w:rsid w:val="004B532C"/>
    <w:rsid w:val="004B6393"/>
    <w:rsid w:val="004B6661"/>
    <w:rsid w:val="004B6685"/>
    <w:rsid w:val="004B721B"/>
    <w:rsid w:val="004C4119"/>
    <w:rsid w:val="004C48CF"/>
    <w:rsid w:val="004C59B3"/>
    <w:rsid w:val="004C612A"/>
    <w:rsid w:val="004C659A"/>
    <w:rsid w:val="004D14BF"/>
    <w:rsid w:val="004D14D0"/>
    <w:rsid w:val="004D31CC"/>
    <w:rsid w:val="004D3455"/>
    <w:rsid w:val="004D4239"/>
    <w:rsid w:val="004D626E"/>
    <w:rsid w:val="004E1A12"/>
    <w:rsid w:val="004F0DEE"/>
    <w:rsid w:val="004F0EB7"/>
    <w:rsid w:val="004F58BD"/>
    <w:rsid w:val="00500D0B"/>
    <w:rsid w:val="00501B93"/>
    <w:rsid w:val="00503F7B"/>
    <w:rsid w:val="00504E2D"/>
    <w:rsid w:val="00511ACE"/>
    <w:rsid w:val="00514081"/>
    <w:rsid w:val="00517053"/>
    <w:rsid w:val="005220E7"/>
    <w:rsid w:val="0052285A"/>
    <w:rsid w:val="00524DDE"/>
    <w:rsid w:val="00525898"/>
    <w:rsid w:val="005259D8"/>
    <w:rsid w:val="00526D70"/>
    <w:rsid w:val="00527BC2"/>
    <w:rsid w:val="0053241D"/>
    <w:rsid w:val="00533A38"/>
    <w:rsid w:val="00545B24"/>
    <w:rsid w:val="005469EF"/>
    <w:rsid w:val="00550D36"/>
    <w:rsid w:val="00551564"/>
    <w:rsid w:val="00551A34"/>
    <w:rsid w:val="00552525"/>
    <w:rsid w:val="005537B3"/>
    <w:rsid w:val="00554225"/>
    <w:rsid w:val="0055422E"/>
    <w:rsid w:val="00554D94"/>
    <w:rsid w:val="00554E5E"/>
    <w:rsid w:val="0055793C"/>
    <w:rsid w:val="00560329"/>
    <w:rsid w:val="00565433"/>
    <w:rsid w:val="00567CF8"/>
    <w:rsid w:val="005707C1"/>
    <w:rsid w:val="00570CF9"/>
    <w:rsid w:val="00575635"/>
    <w:rsid w:val="005766B6"/>
    <w:rsid w:val="00576F6D"/>
    <w:rsid w:val="00580137"/>
    <w:rsid w:val="0058108E"/>
    <w:rsid w:val="00581A6B"/>
    <w:rsid w:val="0058272D"/>
    <w:rsid w:val="00582AF6"/>
    <w:rsid w:val="005853A6"/>
    <w:rsid w:val="00585ABE"/>
    <w:rsid w:val="005873B2"/>
    <w:rsid w:val="00587714"/>
    <w:rsid w:val="0059753D"/>
    <w:rsid w:val="005A08B7"/>
    <w:rsid w:val="005A39D1"/>
    <w:rsid w:val="005A3C35"/>
    <w:rsid w:val="005A5324"/>
    <w:rsid w:val="005A60A4"/>
    <w:rsid w:val="005B0484"/>
    <w:rsid w:val="005B090E"/>
    <w:rsid w:val="005B1C07"/>
    <w:rsid w:val="005B236D"/>
    <w:rsid w:val="005B3669"/>
    <w:rsid w:val="005B475C"/>
    <w:rsid w:val="005B5CCD"/>
    <w:rsid w:val="005B6128"/>
    <w:rsid w:val="005C1E38"/>
    <w:rsid w:val="005C273F"/>
    <w:rsid w:val="005C572B"/>
    <w:rsid w:val="005C705A"/>
    <w:rsid w:val="005C70B8"/>
    <w:rsid w:val="005D0198"/>
    <w:rsid w:val="005D04CC"/>
    <w:rsid w:val="005D0B39"/>
    <w:rsid w:val="005D0C62"/>
    <w:rsid w:val="005D1272"/>
    <w:rsid w:val="005D26AA"/>
    <w:rsid w:val="005D3D38"/>
    <w:rsid w:val="005D413C"/>
    <w:rsid w:val="005D545B"/>
    <w:rsid w:val="005D60BD"/>
    <w:rsid w:val="005E020F"/>
    <w:rsid w:val="005E1B5D"/>
    <w:rsid w:val="005E326F"/>
    <w:rsid w:val="005E4AB9"/>
    <w:rsid w:val="005E5C50"/>
    <w:rsid w:val="005E63B0"/>
    <w:rsid w:val="005E7939"/>
    <w:rsid w:val="005F0AB2"/>
    <w:rsid w:val="005F0D79"/>
    <w:rsid w:val="005F3BCB"/>
    <w:rsid w:val="005F4C19"/>
    <w:rsid w:val="005F6CA5"/>
    <w:rsid w:val="005F7000"/>
    <w:rsid w:val="00600378"/>
    <w:rsid w:val="00601490"/>
    <w:rsid w:val="0060597B"/>
    <w:rsid w:val="00614D08"/>
    <w:rsid w:val="00616D18"/>
    <w:rsid w:val="006176FB"/>
    <w:rsid w:val="00621032"/>
    <w:rsid w:val="00621849"/>
    <w:rsid w:val="0062315F"/>
    <w:rsid w:val="00623F70"/>
    <w:rsid w:val="006255DA"/>
    <w:rsid w:val="00625946"/>
    <w:rsid w:val="00625D45"/>
    <w:rsid w:val="00630F22"/>
    <w:rsid w:val="006347DD"/>
    <w:rsid w:val="0063511D"/>
    <w:rsid w:val="00635465"/>
    <w:rsid w:val="0063630B"/>
    <w:rsid w:val="006401FC"/>
    <w:rsid w:val="00640377"/>
    <w:rsid w:val="00642A2C"/>
    <w:rsid w:val="0064362E"/>
    <w:rsid w:val="0064372A"/>
    <w:rsid w:val="0064473B"/>
    <w:rsid w:val="00644FCD"/>
    <w:rsid w:val="00647B85"/>
    <w:rsid w:val="00653F8C"/>
    <w:rsid w:val="006546B5"/>
    <w:rsid w:val="00656088"/>
    <w:rsid w:val="00656349"/>
    <w:rsid w:val="00656961"/>
    <w:rsid w:val="00660377"/>
    <w:rsid w:val="00660645"/>
    <w:rsid w:val="00660D6C"/>
    <w:rsid w:val="00661CE4"/>
    <w:rsid w:val="0066502F"/>
    <w:rsid w:val="00666C33"/>
    <w:rsid w:val="006732D1"/>
    <w:rsid w:val="0067438B"/>
    <w:rsid w:val="00674673"/>
    <w:rsid w:val="006752FA"/>
    <w:rsid w:val="00676C06"/>
    <w:rsid w:val="00677184"/>
    <w:rsid w:val="006803BF"/>
    <w:rsid w:val="0068055E"/>
    <w:rsid w:val="00680FD6"/>
    <w:rsid w:val="00681516"/>
    <w:rsid w:val="00682557"/>
    <w:rsid w:val="00684A12"/>
    <w:rsid w:val="00685599"/>
    <w:rsid w:val="00686C26"/>
    <w:rsid w:val="00687038"/>
    <w:rsid w:val="0068723D"/>
    <w:rsid w:val="00687432"/>
    <w:rsid w:val="00690810"/>
    <w:rsid w:val="00690C6C"/>
    <w:rsid w:val="00690E92"/>
    <w:rsid w:val="006913AE"/>
    <w:rsid w:val="00691838"/>
    <w:rsid w:val="00697E51"/>
    <w:rsid w:val="006A0811"/>
    <w:rsid w:val="006A0EE6"/>
    <w:rsid w:val="006A1315"/>
    <w:rsid w:val="006A3AC1"/>
    <w:rsid w:val="006A69A1"/>
    <w:rsid w:val="006A726A"/>
    <w:rsid w:val="006B117A"/>
    <w:rsid w:val="006B1474"/>
    <w:rsid w:val="006B1627"/>
    <w:rsid w:val="006B33E4"/>
    <w:rsid w:val="006B4F2D"/>
    <w:rsid w:val="006B5E56"/>
    <w:rsid w:val="006B6435"/>
    <w:rsid w:val="006B6AC8"/>
    <w:rsid w:val="006B747A"/>
    <w:rsid w:val="006C0D98"/>
    <w:rsid w:val="006D0CD9"/>
    <w:rsid w:val="006D0D1F"/>
    <w:rsid w:val="006D14B7"/>
    <w:rsid w:val="006D1874"/>
    <w:rsid w:val="006D23C4"/>
    <w:rsid w:val="006D34AD"/>
    <w:rsid w:val="006D4D56"/>
    <w:rsid w:val="006D5DC2"/>
    <w:rsid w:val="006D6528"/>
    <w:rsid w:val="006E4816"/>
    <w:rsid w:val="006E4A7C"/>
    <w:rsid w:val="006E783A"/>
    <w:rsid w:val="006E7B11"/>
    <w:rsid w:val="006F0BAA"/>
    <w:rsid w:val="006F0D50"/>
    <w:rsid w:val="006F1082"/>
    <w:rsid w:val="006F1999"/>
    <w:rsid w:val="006F19FB"/>
    <w:rsid w:val="006F4CF9"/>
    <w:rsid w:val="006F56DB"/>
    <w:rsid w:val="006F60EE"/>
    <w:rsid w:val="007024C4"/>
    <w:rsid w:val="00702542"/>
    <w:rsid w:val="00703DCB"/>
    <w:rsid w:val="00705C37"/>
    <w:rsid w:val="00706BBE"/>
    <w:rsid w:val="00707FED"/>
    <w:rsid w:val="007103B9"/>
    <w:rsid w:val="0071309A"/>
    <w:rsid w:val="00720A0D"/>
    <w:rsid w:val="00721D1D"/>
    <w:rsid w:val="00722330"/>
    <w:rsid w:val="00723E56"/>
    <w:rsid w:val="00725E48"/>
    <w:rsid w:val="0073103A"/>
    <w:rsid w:val="00731FE2"/>
    <w:rsid w:val="007356C0"/>
    <w:rsid w:val="007363F3"/>
    <w:rsid w:val="00736984"/>
    <w:rsid w:val="007374BF"/>
    <w:rsid w:val="00740067"/>
    <w:rsid w:val="00740970"/>
    <w:rsid w:val="007410B7"/>
    <w:rsid w:val="0074270C"/>
    <w:rsid w:val="007434EE"/>
    <w:rsid w:val="00744B35"/>
    <w:rsid w:val="00747F09"/>
    <w:rsid w:val="007529A0"/>
    <w:rsid w:val="007550AD"/>
    <w:rsid w:val="00761526"/>
    <w:rsid w:val="00761A2B"/>
    <w:rsid w:val="00761CF7"/>
    <w:rsid w:val="00763BB4"/>
    <w:rsid w:val="00766100"/>
    <w:rsid w:val="007674D7"/>
    <w:rsid w:val="007724D1"/>
    <w:rsid w:val="00773CAC"/>
    <w:rsid w:val="00773E63"/>
    <w:rsid w:val="00774B43"/>
    <w:rsid w:val="00780567"/>
    <w:rsid w:val="00781DB6"/>
    <w:rsid w:val="0078247F"/>
    <w:rsid w:val="00782C96"/>
    <w:rsid w:val="0078330D"/>
    <w:rsid w:val="00784202"/>
    <w:rsid w:val="00784CB5"/>
    <w:rsid w:val="0078645F"/>
    <w:rsid w:val="00786CB8"/>
    <w:rsid w:val="007905B0"/>
    <w:rsid w:val="00790BAB"/>
    <w:rsid w:val="00792794"/>
    <w:rsid w:val="0079488A"/>
    <w:rsid w:val="007A0BDD"/>
    <w:rsid w:val="007A1862"/>
    <w:rsid w:val="007A1B50"/>
    <w:rsid w:val="007A2E3E"/>
    <w:rsid w:val="007A3DBD"/>
    <w:rsid w:val="007A4F27"/>
    <w:rsid w:val="007A509F"/>
    <w:rsid w:val="007A5359"/>
    <w:rsid w:val="007A55FE"/>
    <w:rsid w:val="007B2C54"/>
    <w:rsid w:val="007C379A"/>
    <w:rsid w:val="007C45F4"/>
    <w:rsid w:val="007C4EC8"/>
    <w:rsid w:val="007C63B5"/>
    <w:rsid w:val="007C6476"/>
    <w:rsid w:val="007C692F"/>
    <w:rsid w:val="007C73AC"/>
    <w:rsid w:val="007D0064"/>
    <w:rsid w:val="007D04C0"/>
    <w:rsid w:val="007D1A0E"/>
    <w:rsid w:val="007D221B"/>
    <w:rsid w:val="007D3B73"/>
    <w:rsid w:val="007D4EE9"/>
    <w:rsid w:val="007E08B2"/>
    <w:rsid w:val="007E0A7F"/>
    <w:rsid w:val="007E23D0"/>
    <w:rsid w:val="007E2A67"/>
    <w:rsid w:val="007E32E6"/>
    <w:rsid w:val="007E3C7B"/>
    <w:rsid w:val="007E4A13"/>
    <w:rsid w:val="007E5AAC"/>
    <w:rsid w:val="007E67F2"/>
    <w:rsid w:val="007E76BA"/>
    <w:rsid w:val="007E783B"/>
    <w:rsid w:val="007F2079"/>
    <w:rsid w:val="007F2DF0"/>
    <w:rsid w:val="007F4ADC"/>
    <w:rsid w:val="007F63D8"/>
    <w:rsid w:val="007F6784"/>
    <w:rsid w:val="00804AE1"/>
    <w:rsid w:val="00806151"/>
    <w:rsid w:val="00811042"/>
    <w:rsid w:val="00812855"/>
    <w:rsid w:val="00812F6B"/>
    <w:rsid w:val="008130E5"/>
    <w:rsid w:val="00813928"/>
    <w:rsid w:val="008142BA"/>
    <w:rsid w:val="00814ABB"/>
    <w:rsid w:val="00815F57"/>
    <w:rsid w:val="008164C7"/>
    <w:rsid w:val="00816B6C"/>
    <w:rsid w:val="0081701A"/>
    <w:rsid w:val="008209C7"/>
    <w:rsid w:val="00824B60"/>
    <w:rsid w:val="00825E01"/>
    <w:rsid w:val="008265DF"/>
    <w:rsid w:val="00827633"/>
    <w:rsid w:val="00827DE0"/>
    <w:rsid w:val="00830B59"/>
    <w:rsid w:val="00830C10"/>
    <w:rsid w:val="0083136C"/>
    <w:rsid w:val="00834E02"/>
    <w:rsid w:val="008358E7"/>
    <w:rsid w:val="00836266"/>
    <w:rsid w:val="00836C99"/>
    <w:rsid w:val="00837AE5"/>
    <w:rsid w:val="0084309D"/>
    <w:rsid w:val="00845576"/>
    <w:rsid w:val="0084780F"/>
    <w:rsid w:val="0085023E"/>
    <w:rsid w:val="00850978"/>
    <w:rsid w:val="008515DC"/>
    <w:rsid w:val="0085263C"/>
    <w:rsid w:val="00853E85"/>
    <w:rsid w:val="008542EA"/>
    <w:rsid w:val="00854C22"/>
    <w:rsid w:val="00855148"/>
    <w:rsid w:val="00857FFE"/>
    <w:rsid w:val="008619BB"/>
    <w:rsid w:val="008625C2"/>
    <w:rsid w:val="0086270A"/>
    <w:rsid w:val="008628A8"/>
    <w:rsid w:val="0086395D"/>
    <w:rsid w:val="0086465D"/>
    <w:rsid w:val="00866606"/>
    <w:rsid w:val="00867DE4"/>
    <w:rsid w:val="00871D08"/>
    <w:rsid w:val="00871F2E"/>
    <w:rsid w:val="00872A75"/>
    <w:rsid w:val="00873586"/>
    <w:rsid w:val="00874288"/>
    <w:rsid w:val="00874A5B"/>
    <w:rsid w:val="00876D91"/>
    <w:rsid w:val="00877DF5"/>
    <w:rsid w:val="00880DD7"/>
    <w:rsid w:val="00880E43"/>
    <w:rsid w:val="00881EA0"/>
    <w:rsid w:val="00884E5F"/>
    <w:rsid w:val="00886CF6"/>
    <w:rsid w:val="008901D6"/>
    <w:rsid w:val="008914B6"/>
    <w:rsid w:val="00897572"/>
    <w:rsid w:val="008A1DBA"/>
    <w:rsid w:val="008A22D3"/>
    <w:rsid w:val="008A37E8"/>
    <w:rsid w:val="008A48B7"/>
    <w:rsid w:val="008B0FA5"/>
    <w:rsid w:val="008B3B3F"/>
    <w:rsid w:val="008B470E"/>
    <w:rsid w:val="008B5F0E"/>
    <w:rsid w:val="008B6932"/>
    <w:rsid w:val="008B6C46"/>
    <w:rsid w:val="008B6DFD"/>
    <w:rsid w:val="008B7991"/>
    <w:rsid w:val="008B7B4E"/>
    <w:rsid w:val="008C0CBB"/>
    <w:rsid w:val="008C26A2"/>
    <w:rsid w:val="008C3044"/>
    <w:rsid w:val="008C4496"/>
    <w:rsid w:val="008C4D64"/>
    <w:rsid w:val="008D2216"/>
    <w:rsid w:val="008D2533"/>
    <w:rsid w:val="008D3536"/>
    <w:rsid w:val="008D3729"/>
    <w:rsid w:val="008D3DAB"/>
    <w:rsid w:val="008D5771"/>
    <w:rsid w:val="008D6CDC"/>
    <w:rsid w:val="008D7E64"/>
    <w:rsid w:val="008E0089"/>
    <w:rsid w:val="008E0890"/>
    <w:rsid w:val="008E0DE6"/>
    <w:rsid w:val="008E2554"/>
    <w:rsid w:val="008E4A03"/>
    <w:rsid w:val="008E58E5"/>
    <w:rsid w:val="008E6AE5"/>
    <w:rsid w:val="008E6CA9"/>
    <w:rsid w:val="008E6FEB"/>
    <w:rsid w:val="008F02AA"/>
    <w:rsid w:val="008F1F9D"/>
    <w:rsid w:val="008F2E2D"/>
    <w:rsid w:val="008F33FE"/>
    <w:rsid w:val="008F3BE2"/>
    <w:rsid w:val="008F40BA"/>
    <w:rsid w:val="008F6F0A"/>
    <w:rsid w:val="008F7ED1"/>
    <w:rsid w:val="0090154C"/>
    <w:rsid w:val="00901D2A"/>
    <w:rsid w:val="00902309"/>
    <w:rsid w:val="00902BD4"/>
    <w:rsid w:val="00903C3E"/>
    <w:rsid w:val="009040F6"/>
    <w:rsid w:val="009060E2"/>
    <w:rsid w:val="0091014E"/>
    <w:rsid w:val="00912508"/>
    <w:rsid w:val="00913C24"/>
    <w:rsid w:val="00913C52"/>
    <w:rsid w:val="00913C58"/>
    <w:rsid w:val="009146E3"/>
    <w:rsid w:val="00914E64"/>
    <w:rsid w:val="00915A4B"/>
    <w:rsid w:val="00917199"/>
    <w:rsid w:val="00920800"/>
    <w:rsid w:val="00920B4A"/>
    <w:rsid w:val="00920E7E"/>
    <w:rsid w:val="00921841"/>
    <w:rsid w:val="00922573"/>
    <w:rsid w:val="00930DB1"/>
    <w:rsid w:val="009312F9"/>
    <w:rsid w:val="00931C2D"/>
    <w:rsid w:val="00935832"/>
    <w:rsid w:val="00940C60"/>
    <w:rsid w:val="00940DAD"/>
    <w:rsid w:val="009426EC"/>
    <w:rsid w:val="009434FB"/>
    <w:rsid w:val="00946DF5"/>
    <w:rsid w:val="0095119C"/>
    <w:rsid w:val="0095132C"/>
    <w:rsid w:val="00951DD2"/>
    <w:rsid w:val="009543CA"/>
    <w:rsid w:val="00954924"/>
    <w:rsid w:val="009569E4"/>
    <w:rsid w:val="00957784"/>
    <w:rsid w:val="00957924"/>
    <w:rsid w:val="00957DD4"/>
    <w:rsid w:val="00960106"/>
    <w:rsid w:val="00960BBB"/>
    <w:rsid w:val="00961077"/>
    <w:rsid w:val="00961971"/>
    <w:rsid w:val="009624D4"/>
    <w:rsid w:val="00963B16"/>
    <w:rsid w:val="00970446"/>
    <w:rsid w:val="00970661"/>
    <w:rsid w:val="00971223"/>
    <w:rsid w:val="0097223B"/>
    <w:rsid w:val="0097236C"/>
    <w:rsid w:val="00975982"/>
    <w:rsid w:val="009772D4"/>
    <w:rsid w:val="0098104F"/>
    <w:rsid w:val="009811F6"/>
    <w:rsid w:val="00984048"/>
    <w:rsid w:val="009853C2"/>
    <w:rsid w:val="00985CBB"/>
    <w:rsid w:val="00986E84"/>
    <w:rsid w:val="00990158"/>
    <w:rsid w:val="009915EA"/>
    <w:rsid w:val="009942B3"/>
    <w:rsid w:val="00994F14"/>
    <w:rsid w:val="009965C9"/>
    <w:rsid w:val="00997823"/>
    <w:rsid w:val="009A1CE6"/>
    <w:rsid w:val="009A2AC6"/>
    <w:rsid w:val="009A3A6D"/>
    <w:rsid w:val="009A51B1"/>
    <w:rsid w:val="009A5BAE"/>
    <w:rsid w:val="009A61FB"/>
    <w:rsid w:val="009B05C7"/>
    <w:rsid w:val="009B2A37"/>
    <w:rsid w:val="009B3A34"/>
    <w:rsid w:val="009B4709"/>
    <w:rsid w:val="009B639E"/>
    <w:rsid w:val="009B775F"/>
    <w:rsid w:val="009B7892"/>
    <w:rsid w:val="009C02A3"/>
    <w:rsid w:val="009C0D51"/>
    <w:rsid w:val="009C1154"/>
    <w:rsid w:val="009C136B"/>
    <w:rsid w:val="009C305F"/>
    <w:rsid w:val="009C557D"/>
    <w:rsid w:val="009C5F0A"/>
    <w:rsid w:val="009D1D46"/>
    <w:rsid w:val="009D4566"/>
    <w:rsid w:val="009D4993"/>
    <w:rsid w:val="009D57B1"/>
    <w:rsid w:val="009D5AA7"/>
    <w:rsid w:val="009D6602"/>
    <w:rsid w:val="009D6B88"/>
    <w:rsid w:val="009E00D3"/>
    <w:rsid w:val="009E0189"/>
    <w:rsid w:val="009E2D90"/>
    <w:rsid w:val="009E4A37"/>
    <w:rsid w:val="009E62CA"/>
    <w:rsid w:val="009F111E"/>
    <w:rsid w:val="009F2B4E"/>
    <w:rsid w:val="009F42B8"/>
    <w:rsid w:val="009F4DF2"/>
    <w:rsid w:val="009F568A"/>
    <w:rsid w:val="009F6AEA"/>
    <w:rsid w:val="009F7B9D"/>
    <w:rsid w:val="00A017F9"/>
    <w:rsid w:val="00A0198D"/>
    <w:rsid w:val="00A02787"/>
    <w:rsid w:val="00A03414"/>
    <w:rsid w:val="00A04282"/>
    <w:rsid w:val="00A0506A"/>
    <w:rsid w:val="00A05352"/>
    <w:rsid w:val="00A06B11"/>
    <w:rsid w:val="00A06C96"/>
    <w:rsid w:val="00A100B3"/>
    <w:rsid w:val="00A112BA"/>
    <w:rsid w:val="00A119FD"/>
    <w:rsid w:val="00A11B36"/>
    <w:rsid w:val="00A150E1"/>
    <w:rsid w:val="00A17880"/>
    <w:rsid w:val="00A17A51"/>
    <w:rsid w:val="00A2067A"/>
    <w:rsid w:val="00A2104F"/>
    <w:rsid w:val="00A21360"/>
    <w:rsid w:val="00A25BB6"/>
    <w:rsid w:val="00A27D38"/>
    <w:rsid w:val="00A337FD"/>
    <w:rsid w:val="00A341AD"/>
    <w:rsid w:val="00A344D0"/>
    <w:rsid w:val="00A36080"/>
    <w:rsid w:val="00A36E16"/>
    <w:rsid w:val="00A37DA2"/>
    <w:rsid w:val="00A42AE3"/>
    <w:rsid w:val="00A4347A"/>
    <w:rsid w:val="00A437F3"/>
    <w:rsid w:val="00A46B12"/>
    <w:rsid w:val="00A47045"/>
    <w:rsid w:val="00A51A17"/>
    <w:rsid w:val="00A529A0"/>
    <w:rsid w:val="00A5618C"/>
    <w:rsid w:val="00A562DD"/>
    <w:rsid w:val="00A56779"/>
    <w:rsid w:val="00A57353"/>
    <w:rsid w:val="00A574B0"/>
    <w:rsid w:val="00A57D5A"/>
    <w:rsid w:val="00A60340"/>
    <w:rsid w:val="00A603DE"/>
    <w:rsid w:val="00A610F4"/>
    <w:rsid w:val="00A635D6"/>
    <w:rsid w:val="00A63A8F"/>
    <w:rsid w:val="00A63CC4"/>
    <w:rsid w:val="00A678B7"/>
    <w:rsid w:val="00A70CA0"/>
    <w:rsid w:val="00A722D3"/>
    <w:rsid w:val="00A73169"/>
    <w:rsid w:val="00A732A2"/>
    <w:rsid w:val="00A73BF1"/>
    <w:rsid w:val="00A75151"/>
    <w:rsid w:val="00A769AE"/>
    <w:rsid w:val="00A808DE"/>
    <w:rsid w:val="00A80D02"/>
    <w:rsid w:val="00A818B1"/>
    <w:rsid w:val="00A847F2"/>
    <w:rsid w:val="00A84ED9"/>
    <w:rsid w:val="00A85458"/>
    <w:rsid w:val="00A860B1"/>
    <w:rsid w:val="00A866FB"/>
    <w:rsid w:val="00A917C7"/>
    <w:rsid w:val="00A919B3"/>
    <w:rsid w:val="00A91F42"/>
    <w:rsid w:val="00A92D86"/>
    <w:rsid w:val="00A93F88"/>
    <w:rsid w:val="00A97A42"/>
    <w:rsid w:val="00AA3142"/>
    <w:rsid w:val="00AA49A1"/>
    <w:rsid w:val="00AB0F7A"/>
    <w:rsid w:val="00AB1A0B"/>
    <w:rsid w:val="00AB38E1"/>
    <w:rsid w:val="00AB510B"/>
    <w:rsid w:val="00AB5434"/>
    <w:rsid w:val="00AB69EC"/>
    <w:rsid w:val="00AC34EF"/>
    <w:rsid w:val="00AC3865"/>
    <w:rsid w:val="00AC3953"/>
    <w:rsid w:val="00AC71F3"/>
    <w:rsid w:val="00AD1C42"/>
    <w:rsid w:val="00AD2138"/>
    <w:rsid w:val="00AD2257"/>
    <w:rsid w:val="00AD6322"/>
    <w:rsid w:val="00AD6C78"/>
    <w:rsid w:val="00AE0407"/>
    <w:rsid w:val="00AE0FD3"/>
    <w:rsid w:val="00AE2DDA"/>
    <w:rsid w:val="00AE3F71"/>
    <w:rsid w:val="00AE450F"/>
    <w:rsid w:val="00AE5565"/>
    <w:rsid w:val="00AE778B"/>
    <w:rsid w:val="00AF0A6B"/>
    <w:rsid w:val="00AF1299"/>
    <w:rsid w:val="00AF3F89"/>
    <w:rsid w:val="00AF5CD8"/>
    <w:rsid w:val="00AF70C2"/>
    <w:rsid w:val="00AF7D3D"/>
    <w:rsid w:val="00B00703"/>
    <w:rsid w:val="00B00BAB"/>
    <w:rsid w:val="00B02FB7"/>
    <w:rsid w:val="00B03BA9"/>
    <w:rsid w:val="00B05840"/>
    <w:rsid w:val="00B06759"/>
    <w:rsid w:val="00B10037"/>
    <w:rsid w:val="00B10425"/>
    <w:rsid w:val="00B10B44"/>
    <w:rsid w:val="00B11934"/>
    <w:rsid w:val="00B11BAF"/>
    <w:rsid w:val="00B11F50"/>
    <w:rsid w:val="00B13F07"/>
    <w:rsid w:val="00B14AD6"/>
    <w:rsid w:val="00B16A87"/>
    <w:rsid w:val="00B1729F"/>
    <w:rsid w:val="00B20F5E"/>
    <w:rsid w:val="00B210CD"/>
    <w:rsid w:val="00B23472"/>
    <w:rsid w:val="00B2479C"/>
    <w:rsid w:val="00B24969"/>
    <w:rsid w:val="00B25093"/>
    <w:rsid w:val="00B31EDC"/>
    <w:rsid w:val="00B353A3"/>
    <w:rsid w:val="00B36803"/>
    <w:rsid w:val="00B36CCA"/>
    <w:rsid w:val="00B45CBF"/>
    <w:rsid w:val="00B466AA"/>
    <w:rsid w:val="00B46866"/>
    <w:rsid w:val="00B47460"/>
    <w:rsid w:val="00B47E58"/>
    <w:rsid w:val="00B51991"/>
    <w:rsid w:val="00B51BAE"/>
    <w:rsid w:val="00B52584"/>
    <w:rsid w:val="00B530E4"/>
    <w:rsid w:val="00B56518"/>
    <w:rsid w:val="00B56868"/>
    <w:rsid w:val="00B60F18"/>
    <w:rsid w:val="00B6112A"/>
    <w:rsid w:val="00B61B8D"/>
    <w:rsid w:val="00B61F27"/>
    <w:rsid w:val="00B62554"/>
    <w:rsid w:val="00B63552"/>
    <w:rsid w:val="00B63A9D"/>
    <w:rsid w:val="00B651C8"/>
    <w:rsid w:val="00B65598"/>
    <w:rsid w:val="00B65B7F"/>
    <w:rsid w:val="00B71150"/>
    <w:rsid w:val="00B72288"/>
    <w:rsid w:val="00B7386E"/>
    <w:rsid w:val="00B73CF0"/>
    <w:rsid w:val="00B7566E"/>
    <w:rsid w:val="00B77307"/>
    <w:rsid w:val="00B802BA"/>
    <w:rsid w:val="00B81427"/>
    <w:rsid w:val="00B81829"/>
    <w:rsid w:val="00B81CFC"/>
    <w:rsid w:val="00B83090"/>
    <w:rsid w:val="00B8408B"/>
    <w:rsid w:val="00B85244"/>
    <w:rsid w:val="00B873BE"/>
    <w:rsid w:val="00B877CB"/>
    <w:rsid w:val="00B907A7"/>
    <w:rsid w:val="00B941F2"/>
    <w:rsid w:val="00B94587"/>
    <w:rsid w:val="00B94956"/>
    <w:rsid w:val="00BA4DEE"/>
    <w:rsid w:val="00BA68C1"/>
    <w:rsid w:val="00BA6B40"/>
    <w:rsid w:val="00BA7054"/>
    <w:rsid w:val="00BB1187"/>
    <w:rsid w:val="00BB28D9"/>
    <w:rsid w:val="00BB3B64"/>
    <w:rsid w:val="00BB415B"/>
    <w:rsid w:val="00BC586C"/>
    <w:rsid w:val="00BC5D00"/>
    <w:rsid w:val="00BC69AB"/>
    <w:rsid w:val="00BC7F1B"/>
    <w:rsid w:val="00BC7F43"/>
    <w:rsid w:val="00BD0247"/>
    <w:rsid w:val="00BD329E"/>
    <w:rsid w:val="00BD33E9"/>
    <w:rsid w:val="00BD357C"/>
    <w:rsid w:val="00BD4D08"/>
    <w:rsid w:val="00BD4D3D"/>
    <w:rsid w:val="00BD61C9"/>
    <w:rsid w:val="00BD6C2D"/>
    <w:rsid w:val="00BE130E"/>
    <w:rsid w:val="00BE272A"/>
    <w:rsid w:val="00BE279A"/>
    <w:rsid w:val="00BE2C6E"/>
    <w:rsid w:val="00BE336C"/>
    <w:rsid w:val="00BE55A6"/>
    <w:rsid w:val="00BE77DF"/>
    <w:rsid w:val="00BF00DA"/>
    <w:rsid w:val="00BF04C2"/>
    <w:rsid w:val="00BF0871"/>
    <w:rsid w:val="00BF1026"/>
    <w:rsid w:val="00BF1634"/>
    <w:rsid w:val="00BF4606"/>
    <w:rsid w:val="00BF48E4"/>
    <w:rsid w:val="00C00CAF"/>
    <w:rsid w:val="00C01A87"/>
    <w:rsid w:val="00C034DB"/>
    <w:rsid w:val="00C04A2C"/>
    <w:rsid w:val="00C057AD"/>
    <w:rsid w:val="00C05A01"/>
    <w:rsid w:val="00C10201"/>
    <w:rsid w:val="00C15969"/>
    <w:rsid w:val="00C16CD2"/>
    <w:rsid w:val="00C238A6"/>
    <w:rsid w:val="00C23981"/>
    <w:rsid w:val="00C258F9"/>
    <w:rsid w:val="00C279CC"/>
    <w:rsid w:val="00C35572"/>
    <w:rsid w:val="00C35F9D"/>
    <w:rsid w:val="00C40333"/>
    <w:rsid w:val="00C403FF"/>
    <w:rsid w:val="00C437EF"/>
    <w:rsid w:val="00C44765"/>
    <w:rsid w:val="00C44DD6"/>
    <w:rsid w:val="00C45869"/>
    <w:rsid w:val="00C45E42"/>
    <w:rsid w:val="00C46745"/>
    <w:rsid w:val="00C46C42"/>
    <w:rsid w:val="00C5020C"/>
    <w:rsid w:val="00C52CAF"/>
    <w:rsid w:val="00C55030"/>
    <w:rsid w:val="00C56BB0"/>
    <w:rsid w:val="00C57832"/>
    <w:rsid w:val="00C57D8D"/>
    <w:rsid w:val="00C60B52"/>
    <w:rsid w:val="00C62D1A"/>
    <w:rsid w:val="00C70F55"/>
    <w:rsid w:val="00C71CFD"/>
    <w:rsid w:val="00C748B1"/>
    <w:rsid w:val="00C74E80"/>
    <w:rsid w:val="00C74F75"/>
    <w:rsid w:val="00C77E1C"/>
    <w:rsid w:val="00C80624"/>
    <w:rsid w:val="00C81154"/>
    <w:rsid w:val="00C820A3"/>
    <w:rsid w:val="00C853C6"/>
    <w:rsid w:val="00C86692"/>
    <w:rsid w:val="00C874AF"/>
    <w:rsid w:val="00C87A63"/>
    <w:rsid w:val="00C90FA0"/>
    <w:rsid w:val="00C92254"/>
    <w:rsid w:val="00C92E79"/>
    <w:rsid w:val="00C93AD1"/>
    <w:rsid w:val="00C945E5"/>
    <w:rsid w:val="00C97FFE"/>
    <w:rsid w:val="00CA35E1"/>
    <w:rsid w:val="00CA3B8A"/>
    <w:rsid w:val="00CA4E9C"/>
    <w:rsid w:val="00CA6948"/>
    <w:rsid w:val="00CA702B"/>
    <w:rsid w:val="00CB0401"/>
    <w:rsid w:val="00CB0EC9"/>
    <w:rsid w:val="00CB3406"/>
    <w:rsid w:val="00CB3D0F"/>
    <w:rsid w:val="00CC260C"/>
    <w:rsid w:val="00CC26B8"/>
    <w:rsid w:val="00CC7C45"/>
    <w:rsid w:val="00CD19C1"/>
    <w:rsid w:val="00CD2329"/>
    <w:rsid w:val="00CD2E9B"/>
    <w:rsid w:val="00CD633E"/>
    <w:rsid w:val="00CD686A"/>
    <w:rsid w:val="00CD69F7"/>
    <w:rsid w:val="00CD77F1"/>
    <w:rsid w:val="00CE014F"/>
    <w:rsid w:val="00CE0B1B"/>
    <w:rsid w:val="00CE1214"/>
    <w:rsid w:val="00CE228A"/>
    <w:rsid w:val="00CE36A2"/>
    <w:rsid w:val="00CE3AA7"/>
    <w:rsid w:val="00CE6029"/>
    <w:rsid w:val="00CE7ADC"/>
    <w:rsid w:val="00CF0440"/>
    <w:rsid w:val="00CF2C92"/>
    <w:rsid w:val="00CF4BBD"/>
    <w:rsid w:val="00CF5400"/>
    <w:rsid w:val="00CF65BA"/>
    <w:rsid w:val="00D00192"/>
    <w:rsid w:val="00D01798"/>
    <w:rsid w:val="00D01F1B"/>
    <w:rsid w:val="00D02247"/>
    <w:rsid w:val="00D04386"/>
    <w:rsid w:val="00D06987"/>
    <w:rsid w:val="00D06C53"/>
    <w:rsid w:val="00D071C8"/>
    <w:rsid w:val="00D073C2"/>
    <w:rsid w:val="00D07DB7"/>
    <w:rsid w:val="00D10784"/>
    <w:rsid w:val="00D11374"/>
    <w:rsid w:val="00D137E6"/>
    <w:rsid w:val="00D144A1"/>
    <w:rsid w:val="00D14EB6"/>
    <w:rsid w:val="00D2124E"/>
    <w:rsid w:val="00D225EB"/>
    <w:rsid w:val="00D24585"/>
    <w:rsid w:val="00D24752"/>
    <w:rsid w:val="00D24AF0"/>
    <w:rsid w:val="00D25043"/>
    <w:rsid w:val="00D25140"/>
    <w:rsid w:val="00D25FFA"/>
    <w:rsid w:val="00D27875"/>
    <w:rsid w:val="00D3148D"/>
    <w:rsid w:val="00D40116"/>
    <w:rsid w:val="00D422B2"/>
    <w:rsid w:val="00D42F65"/>
    <w:rsid w:val="00D43355"/>
    <w:rsid w:val="00D449EB"/>
    <w:rsid w:val="00D45CEB"/>
    <w:rsid w:val="00D46467"/>
    <w:rsid w:val="00D47777"/>
    <w:rsid w:val="00D51AA2"/>
    <w:rsid w:val="00D525D8"/>
    <w:rsid w:val="00D549C6"/>
    <w:rsid w:val="00D55887"/>
    <w:rsid w:val="00D577B1"/>
    <w:rsid w:val="00D60928"/>
    <w:rsid w:val="00D630B9"/>
    <w:rsid w:val="00D630E6"/>
    <w:rsid w:val="00D6451E"/>
    <w:rsid w:val="00D646BE"/>
    <w:rsid w:val="00D67124"/>
    <w:rsid w:val="00D70BAA"/>
    <w:rsid w:val="00D7148F"/>
    <w:rsid w:val="00D73947"/>
    <w:rsid w:val="00D7581B"/>
    <w:rsid w:val="00D76E50"/>
    <w:rsid w:val="00D80258"/>
    <w:rsid w:val="00D81479"/>
    <w:rsid w:val="00D83040"/>
    <w:rsid w:val="00D846C8"/>
    <w:rsid w:val="00D84EC2"/>
    <w:rsid w:val="00D85408"/>
    <w:rsid w:val="00D860E1"/>
    <w:rsid w:val="00D87913"/>
    <w:rsid w:val="00D90585"/>
    <w:rsid w:val="00D92251"/>
    <w:rsid w:val="00D9239A"/>
    <w:rsid w:val="00D9521B"/>
    <w:rsid w:val="00D9570D"/>
    <w:rsid w:val="00D96B1C"/>
    <w:rsid w:val="00DA0EEC"/>
    <w:rsid w:val="00DA1F78"/>
    <w:rsid w:val="00DA30DC"/>
    <w:rsid w:val="00DA644B"/>
    <w:rsid w:val="00DA649A"/>
    <w:rsid w:val="00DA66EF"/>
    <w:rsid w:val="00DA72F2"/>
    <w:rsid w:val="00DA7A28"/>
    <w:rsid w:val="00DB15A3"/>
    <w:rsid w:val="00DB6D08"/>
    <w:rsid w:val="00DB7E3C"/>
    <w:rsid w:val="00DC1849"/>
    <w:rsid w:val="00DC1ECC"/>
    <w:rsid w:val="00DC2B4A"/>
    <w:rsid w:val="00DC4D31"/>
    <w:rsid w:val="00DC730D"/>
    <w:rsid w:val="00DC77DE"/>
    <w:rsid w:val="00DD0C9D"/>
    <w:rsid w:val="00DD39E4"/>
    <w:rsid w:val="00DD4E87"/>
    <w:rsid w:val="00DD554B"/>
    <w:rsid w:val="00DD5630"/>
    <w:rsid w:val="00DD761E"/>
    <w:rsid w:val="00DE12A0"/>
    <w:rsid w:val="00DE22BB"/>
    <w:rsid w:val="00DE2FA4"/>
    <w:rsid w:val="00DE3D9F"/>
    <w:rsid w:val="00DE4226"/>
    <w:rsid w:val="00DE53B3"/>
    <w:rsid w:val="00DF24FC"/>
    <w:rsid w:val="00DF70C3"/>
    <w:rsid w:val="00E024CC"/>
    <w:rsid w:val="00E03387"/>
    <w:rsid w:val="00E076DF"/>
    <w:rsid w:val="00E07732"/>
    <w:rsid w:val="00E10A6D"/>
    <w:rsid w:val="00E1171E"/>
    <w:rsid w:val="00E12515"/>
    <w:rsid w:val="00E12F4F"/>
    <w:rsid w:val="00E1538F"/>
    <w:rsid w:val="00E1578C"/>
    <w:rsid w:val="00E17704"/>
    <w:rsid w:val="00E2016A"/>
    <w:rsid w:val="00E21601"/>
    <w:rsid w:val="00E2278B"/>
    <w:rsid w:val="00E22A05"/>
    <w:rsid w:val="00E24E3D"/>
    <w:rsid w:val="00E30C02"/>
    <w:rsid w:val="00E310D3"/>
    <w:rsid w:val="00E32C59"/>
    <w:rsid w:val="00E32F8F"/>
    <w:rsid w:val="00E352BA"/>
    <w:rsid w:val="00E35810"/>
    <w:rsid w:val="00E40380"/>
    <w:rsid w:val="00E409D7"/>
    <w:rsid w:val="00E43884"/>
    <w:rsid w:val="00E4468D"/>
    <w:rsid w:val="00E45158"/>
    <w:rsid w:val="00E46ADC"/>
    <w:rsid w:val="00E47389"/>
    <w:rsid w:val="00E473DC"/>
    <w:rsid w:val="00E507B8"/>
    <w:rsid w:val="00E50ACC"/>
    <w:rsid w:val="00E52DA1"/>
    <w:rsid w:val="00E544B6"/>
    <w:rsid w:val="00E54691"/>
    <w:rsid w:val="00E5621D"/>
    <w:rsid w:val="00E57DF7"/>
    <w:rsid w:val="00E600F7"/>
    <w:rsid w:val="00E64F22"/>
    <w:rsid w:val="00E65499"/>
    <w:rsid w:val="00E66475"/>
    <w:rsid w:val="00E678E9"/>
    <w:rsid w:val="00E71A9F"/>
    <w:rsid w:val="00E71CC0"/>
    <w:rsid w:val="00E73C2D"/>
    <w:rsid w:val="00E7436C"/>
    <w:rsid w:val="00E770C7"/>
    <w:rsid w:val="00E77AE4"/>
    <w:rsid w:val="00E846A1"/>
    <w:rsid w:val="00E8571E"/>
    <w:rsid w:val="00E865F2"/>
    <w:rsid w:val="00E9176A"/>
    <w:rsid w:val="00E95C4B"/>
    <w:rsid w:val="00E964C5"/>
    <w:rsid w:val="00E9746B"/>
    <w:rsid w:val="00EA03E1"/>
    <w:rsid w:val="00EA0EBA"/>
    <w:rsid w:val="00EA2912"/>
    <w:rsid w:val="00EA3E24"/>
    <w:rsid w:val="00EA67A0"/>
    <w:rsid w:val="00EA7178"/>
    <w:rsid w:val="00EB23D5"/>
    <w:rsid w:val="00EB2772"/>
    <w:rsid w:val="00EB2DA2"/>
    <w:rsid w:val="00EB51FC"/>
    <w:rsid w:val="00EC0385"/>
    <w:rsid w:val="00EC1BD9"/>
    <w:rsid w:val="00EC202D"/>
    <w:rsid w:val="00EC273D"/>
    <w:rsid w:val="00EC4615"/>
    <w:rsid w:val="00EC51CF"/>
    <w:rsid w:val="00EC5AC2"/>
    <w:rsid w:val="00EC7AFF"/>
    <w:rsid w:val="00ED1672"/>
    <w:rsid w:val="00ED28A6"/>
    <w:rsid w:val="00ED2A11"/>
    <w:rsid w:val="00ED3D68"/>
    <w:rsid w:val="00ED62C7"/>
    <w:rsid w:val="00ED6D0A"/>
    <w:rsid w:val="00ED77B6"/>
    <w:rsid w:val="00ED7FE0"/>
    <w:rsid w:val="00EE0BB6"/>
    <w:rsid w:val="00EE1144"/>
    <w:rsid w:val="00EE2832"/>
    <w:rsid w:val="00EE2865"/>
    <w:rsid w:val="00EE305F"/>
    <w:rsid w:val="00EE393F"/>
    <w:rsid w:val="00EE7423"/>
    <w:rsid w:val="00EF157B"/>
    <w:rsid w:val="00EF180C"/>
    <w:rsid w:val="00EF2F58"/>
    <w:rsid w:val="00EF3E8B"/>
    <w:rsid w:val="00EF48F3"/>
    <w:rsid w:val="00EF61F7"/>
    <w:rsid w:val="00F00984"/>
    <w:rsid w:val="00F017C2"/>
    <w:rsid w:val="00F03C51"/>
    <w:rsid w:val="00F03E03"/>
    <w:rsid w:val="00F0713B"/>
    <w:rsid w:val="00F10BB6"/>
    <w:rsid w:val="00F12065"/>
    <w:rsid w:val="00F135DD"/>
    <w:rsid w:val="00F13F50"/>
    <w:rsid w:val="00F14EC5"/>
    <w:rsid w:val="00F15F2C"/>
    <w:rsid w:val="00F168AC"/>
    <w:rsid w:val="00F16BF9"/>
    <w:rsid w:val="00F20862"/>
    <w:rsid w:val="00F20EF7"/>
    <w:rsid w:val="00F23176"/>
    <w:rsid w:val="00F309C0"/>
    <w:rsid w:val="00F3211A"/>
    <w:rsid w:val="00F3270D"/>
    <w:rsid w:val="00F3603C"/>
    <w:rsid w:val="00F379B1"/>
    <w:rsid w:val="00F37BFF"/>
    <w:rsid w:val="00F42DCC"/>
    <w:rsid w:val="00F46ED8"/>
    <w:rsid w:val="00F52F40"/>
    <w:rsid w:val="00F6245E"/>
    <w:rsid w:val="00F63648"/>
    <w:rsid w:val="00F640C8"/>
    <w:rsid w:val="00F6770F"/>
    <w:rsid w:val="00F71AF3"/>
    <w:rsid w:val="00F71B00"/>
    <w:rsid w:val="00F71E47"/>
    <w:rsid w:val="00F7224E"/>
    <w:rsid w:val="00F76F5D"/>
    <w:rsid w:val="00F77EC1"/>
    <w:rsid w:val="00F85889"/>
    <w:rsid w:val="00F8733B"/>
    <w:rsid w:val="00F87378"/>
    <w:rsid w:val="00F87E14"/>
    <w:rsid w:val="00F91846"/>
    <w:rsid w:val="00F91859"/>
    <w:rsid w:val="00F9236F"/>
    <w:rsid w:val="00F92E36"/>
    <w:rsid w:val="00F943B2"/>
    <w:rsid w:val="00F979AF"/>
    <w:rsid w:val="00FA0E07"/>
    <w:rsid w:val="00FA28A3"/>
    <w:rsid w:val="00FA3FCE"/>
    <w:rsid w:val="00FA7196"/>
    <w:rsid w:val="00FA79A3"/>
    <w:rsid w:val="00FB0049"/>
    <w:rsid w:val="00FB0BAD"/>
    <w:rsid w:val="00FB0FA1"/>
    <w:rsid w:val="00FB3190"/>
    <w:rsid w:val="00FB365B"/>
    <w:rsid w:val="00FB4DAC"/>
    <w:rsid w:val="00FB6A67"/>
    <w:rsid w:val="00FC17C1"/>
    <w:rsid w:val="00FC1CC5"/>
    <w:rsid w:val="00FC2CBB"/>
    <w:rsid w:val="00FC44F9"/>
    <w:rsid w:val="00FC4E71"/>
    <w:rsid w:val="00FC55F7"/>
    <w:rsid w:val="00FC633D"/>
    <w:rsid w:val="00FC6CEB"/>
    <w:rsid w:val="00FC7DFB"/>
    <w:rsid w:val="00FD0808"/>
    <w:rsid w:val="00FD21B4"/>
    <w:rsid w:val="00FD2632"/>
    <w:rsid w:val="00FD4502"/>
    <w:rsid w:val="00FD4B20"/>
    <w:rsid w:val="00FD5DAF"/>
    <w:rsid w:val="00FD6D76"/>
    <w:rsid w:val="00FD7E8D"/>
    <w:rsid w:val="00FE1CC9"/>
    <w:rsid w:val="00FE2546"/>
    <w:rsid w:val="00FE39F3"/>
    <w:rsid w:val="00FE3B50"/>
    <w:rsid w:val="00FE5572"/>
    <w:rsid w:val="00FE60D0"/>
    <w:rsid w:val="00FE698B"/>
    <w:rsid w:val="00FE7FC8"/>
    <w:rsid w:val="00FF00A7"/>
    <w:rsid w:val="00FF3A89"/>
    <w:rsid w:val="00FF3D41"/>
    <w:rsid w:val="00FF4865"/>
    <w:rsid w:val="00FF68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204B20"/>
  <w15:docId w15:val="{221FF7C7-9EC4-44C4-93AC-64A816783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4"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 w:unhideWhenUsed="1" w:qFormat="1"/>
    <w:lsdException w:name="List Number 3" w:semiHidden="1" w:uiPriority="18" w:unhideWhenUsed="1" w:qFormat="1"/>
    <w:lsdException w:name="List Number 4" w:semiHidden="1" w:uiPriority="18" w:unhideWhenUsed="1"/>
    <w:lsdException w:name="List Number 5" w:semiHidden="1" w:uiPriority="1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Heading 1 Cab"/>
    <w:next w:val="BodyText"/>
    <w:link w:val="Heading1Char"/>
    <w:uiPriority w:val="4"/>
    <w:qFormat/>
    <w:rsid w:val="00E45158"/>
    <w:pPr>
      <w:keepNext/>
      <w:keepLines/>
      <w:numPr>
        <w:numId w:val="7"/>
      </w:numPr>
      <w:tabs>
        <w:tab w:val="left" w:pos="567"/>
      </w:tabs>
      <w:spacing w:before="240" w:after="200" w:line="240" w:lineRule="auto"/>
      <w:outlineLvl w:val="0"/>
    </w:pPr>
    <w:rPr>
      <w:rFonts w:ascii="Arial" w:eastAsiaTheme="majorEastAsia" w:hAnsi="Arial" w:cstheme="majorBidi"/>
      <w:color w:val="003865"/>
      <w:sz w:val="3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link w:val="BulletChar"/>
    <w:rsid w:val="00567CF8"/>
    <w:pPr>
      <w:numPr>
        <w:numId w:val="1"/>
      </w:numPr>
      <w:spacing w:after="240" w:line="260" w:lineRule="exact"/>
      <w:jc w:val="both"/>
    </w:pPr>
    <w:rPr>
      <w:rFonts w:ascii="Corbel" w:eastAsia="Times New Roman" w:hAnsi="Corbel" w:cs="Times New Roman"/>
      <w:color w:val="000000"/>
      <w:sz w:val="23"/>
      <w:szCs w:val="20"/>
      <w:lang w:eastAsia="en-AU"/>
    </w:rPr>
  </w:style>
  <w:style w:type="paragraph" w:customStyle="1" w:styleId="Dash">
    <w:name w:val="Dash"/>
    <w:basedOn w:val="Normal"/>
    <w:rsid w:val="00567CF8"/>
    <w:pPr>
      <w:numPr>
        <w:ilvl w:val="1"/>
        <w:numId w:val="1"/>
      </w:numPr>
      <w:spacing w:after="240" w:line="260" w:lineRule="exact"/>
      <w:jc w:val="both"/>
    </w:pPr>
    <w:rPr>
      <w:rFonts w:ascii="Corbel" w:eastAsia="Times New Roman" w:hAnsi="Corbel" w:cs="Times New Roman"/>
      <w:color w:val="000000"/>
      <w:sz w:val="23"/>
      <w:szCs w:val="20"/>
      <w:lang w:eastAsia="en-AU"/>
    </w:rPr>
  </w:style>
  <w:style w:type="paragraph" w:customStyle="1" w:styleId="DoubleDot">
    <w:name w:val="Double Dot"/>
    <w:basedOn w:val="Normal"/>
    <w:rsid w:val="00567CF8"/>
    <w:pPr>
      <w:numPr>
        <w:ilvl w:val="2"/>
        <w:numId w:val="1"/>
      </w:numPr>
      <w:spacing w:after="240" w:line="260" w:lineRule="exact"/>
      <w:jc w:val="both"/>
    </w:pPr>
    <w:rPr>
      <w:rFonts w:ascii="Corbel" w:eastAsia="Times New Roman" w:hAnsi="Corbel" w:cs="Times New Roman"/>
      <w:color w:val="000000"/>
      <w:sz w:val="23"/>
      <w:szCs w:val="20"/>
      <w:lang w:eastAsia="en-AU"/>
    </w:rPr>
  </w:style>
  <w:style w:type="character" w:customStyle="1" w:styleId="BulletChar">
    <w:name w:val="Bullet Char"/>
    <w:link w:val="Bullet"/>
    <w:locked/>
    <w:rsid w:val="00567CF8"/>
    <w:rPr>
      <w:rFonts w:ascii="Corbel" w:eastAsia="Times New Roman" w:hAnsi="Corbel" w:cs="Times New Roman"/>
      <w:color w:val="000000"/>
      <w:sz w:val="23"/>
      <w:szCs w:val="20"/>
      <w:lang w:eastAsia="en-AU"/>
    </w:rPr>
  </w:style>
  <w:style w:type="character" w:styleId="Hyperlink">
    <w:name w:val="Hyperlink"/>
    <w:basedOn w:val="DefaultParagraphFont"/>
    <w:uiPriority w:val="99"/>
    <w:rsid w:val="00567CF8"/>
    <w:rPr>
      <w:rFonts w:cs="Times New Roman"/>
      <w:color w:val="auto"/>
      <w:u w:val="none"/>
    </w:rPr>
  </w:style>
  <w:style w:type="paragraph" w:styleId="Header">
    <w:name w:val="header"/>
    <w:basedOn w:val="Normal"/>
    <w:link w:val="HeaderChar"/>
    <w:uiPriority w:val="99"/>
    <w:unhideWhenUsed/>
    <w:rsid w:val="006560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6088"/>
  </w:style>
  <w:style w:type="paragraph" w:styleId="Footer">
    <w:name w:val="footer"/>
    <w:basedOn w:val="Normal"/>
    <w:link w:val="FooterChar"/>
    <w:uiPriority w:val="99"/>
    <w:unhideWhenUsed/>
    <w:rsid w:val="006560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6088"/>
  </w:style>
  <w:style w:type="character" w:styleId="CommentReference">
    <w:name w:val="annotation reference"/>
    <w:basedOn w:val="DefaultParagraphFont"/>
    <w:uiPriority w:val="99"/>
    <w:semiHidden/>
    <w:rsid w:val="00294C3C"/>
    <w:rPr>
      <w:rFonts w:cs="Times New Roman"/>
      <w:sz w:val="16"/>
    </w:rPr>
  </w:style>
  <w:style w:type="paragraph" w:styleId="CommentText">
    <w:name w:val="annotation text"/>
    <w:basedOn w:val="Normal"/>
    <w:link w:val="CommentTextChar"/>
    <w:uiPriority w:val="99"/>
    <w:rsid w:val="00294C3C"/>
    <w:pPr>
      <w:spacing w:after="240" w:line="260" w:lineRule="exact"/>
      <w:jc w:val="both"/>
    </w:pPr>
    <w:rPr>
      <w:rFonts w:ascii="Corbel" w:eastAsia="Times New Roman" w:hAnsi="Corbel" w:cs="Times New Roman"/>
      <w:color w:val="000000"/>
      <w:sz w:val="23"/>
      <w:szCs w:val="20"/>
      <w:lang w:eastAsia="en-AU"/>
    </w:rPr>
  </w:style>
  <w:style w:type="character" w:customStyle="1" w:styleId="CommentTextChar">
    <w:name w:val="Comment Text Char"/>
    <w:basedOn w:val="DefaultParagraphFont"/>
    <w:link w:val="CommentText"/>
    <w:uiPriority w:val="99"/>
    <w:rsid w:val="00294C3C"/>
    <w:rPr>
      <w:rFonts w:ascii="Corbel" w:eastAsia="Times New Roman" w:hAnsi="Corbel" w:cs="Times New Roman"/>
      <w:color w:val="000000"/>
      <w:sz w:val="23"/>
      <w:szCs w:val="20"/>
      <w:lang w:eastAsia="en-AU"/>
    </w:rPr>
  </w:style>
  <w:style w:type="paragraph" w:styleId="BalloonText">
    <w:name w:val="Balloon Text"/>
    <w:basedOn w:val="Normal"/>
    <w:link w:val="BalloonTextChar"/>
    <w:uiPriority w:val="99"/>
    <w:semiHidden/>
    <w:unhideWhenUsed/>
    <w:rsid w:val="00294C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4C3C"/>
    <w:rPr>
      <w:rFonts w:ascii="Segoe UI" w:hAnsi="Segoe UI" w:cs="Segoe UI"/>
      <w:sz w:val="18"/>
      <w:szCs w:val="18"/>
    </w:rPr>
  </w:style>
  <w:style w:type="paragraph" w:styleId="ListParagraph">
    <w:name w:val="List Paragraph"/>
    <w:basedOn w:val="Normal"/>
    <w:uiPriority w:val="34"/>
    <w:qFormat/>
    <w:rsid w:val="00303C11"/>
    <w:pPr>
      <w:ind w:left="720"/>
      <w:contextualSpacing/>
    </w:pPr>
  </w:style>
  <w:style w:type="table" w:styleId="TableGrid">
    <w:name w:val="Table Grid"/>
    <w:basedOn w:val="TableNormal"/>
    <w:uiPriority w:val="39"/>
    <w:rsid w:val="00101823"/>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aliases w:val="Heading 1 Cab Char"/>
    <w:basedOn w:val="DefaultParagraphFont"/>
    <w:link w:val="Heading1"/>
    <w:uiPriority w:val="9"/>
    <w:rsid w:val="00E45158"/>
    <w:rPr>
      <w:rFonts w:ascii="Arial" w:eastAsiaTheme="majorEastAsia" w:hAnsi="Arial" w:cstheme="majorBidi"/>
      <w:color w:val="003865"/>
      <w:sz w:val="32"/>
      <w:szCs w:val="28"/>
    </w:rPr>
  </w:style>
  <w:style w:type="paragraph" w:customStyle="1" w:styleId="CAB-NumberedParagraph">
    <w:name w:val="CAB - Numbered Paragraph"/>
    <w:basedOn w:val="Normal"/>
    <w:uiPriority w:val="98"/>
    <w:rsid w:val="00E45158"/>
    <w:pPr>
      <w:numPr>
        <w:ilvl w:val="1"/>
        <w:numId w:val="7"/>
      </w:numPr>
      <w:spacing w:after="200" w:line="276" w:lineRule="auto"/>
    </w:pPr>
    <w:rPr>
      <w:rFonts w:ascii="Arial" w:hAnsi="Arial"/>
    </w:rPr>
  </w:style>
  <w:style w:type="paragraph" w:styleId="BodyText">
    <w:name w:val="Body Text"/>
    <w:basedOn w:val="Normal"/>
    <w:link w:val="BodyTextChar"/>
    <w:uiPriority w:val="99"/>
    <w:semiHidden/>
    <w:unhideWhenUsed/>
    <w:rsid w:val="00E45158"/>
    <w:pPr>
      <w:spacing w:after="120"/>
    </w:pPr>
  </w:style>
  <w:style w:type="character" w:customStyle="1" w:styleId="BodyTextChar">
    <w:name w:val="Body Text Char"/>
    <w:basedOn w:val="DefaultParagraphFont"/>
    <w:link w:val="BodyText"/>
    <w:uiPriority w:val="99"/>
    <w:semiHidden/>
    <w:rsid w:val="00E45158"/>
  </w:style>
  <w:style w:type="paragraph" w:styleId="CommentSubject">
    <w:name w:val="annotation subject"/>
    <w:basedOn w:val="CommentText"/>
    <w:next w:val="CommentText"/>
    <w:link w:val="CommentSubjectChar"/>
    <w:uiPriority w:val="99"/>
    <w:semiHidden/>
    <w:unhideWhenUsed/>
    <w:rsid w:val="00B65B7F"/>
    <w:pPr>
      <w:spacing w:after="160" w:line="240" w:lineRule="auto"/>
      <w:jc w:val="left"/>
    </w:pPr>
    <w:rPr>
      <w:rFonts w:asciiTheme="minorHAnsi" w:eastAsiaTheme="minorHAnsi" w:hAnsiTheme="minorHAnsi" w:cstheme="minorBidi"/>
      <w:b/>
      <w:bCs/>
      <w:color w:val="auto"/>
      <w:sz w:val="20"/>
      <w:lang w:eastAsia="en-US"/>
    </w:rPr>
  </w:style>
  <w:style w:type="character" w:customStyle="1" w:styleId="CommentSubjectChar">
    <w:name w:val="Comment Subject Char"/>
    <w:basedOn w:val="CommentTextChar"/>
    <w:link w:val="CommentSubject"/>
    <w:uiPriority w:val="99"/>
    <w:semiHidden/>
    <w:rsid w:val="00B65B7F"/>
    <w:rPr>
      <w:rFonts w:ascii="Corbel" w:eastAsia="Times New Roman" w:hAnsi="Corbel" w:cs="Times New Roman"/>
      <w:b/>
      <w:bCs/>
      <w:color w:val="000000"/>
      <w:sz w:val="20"/>
      <w:szCs w:val="20"/>
      <w:lang w:eastAsia="en-AU"/>
    </w:rPr>
  </w:style>
  <w:style w:type="paragraph" w:styleId="NoSpacing">
    <w:name w:val="No Spacing"/>
    <w:uiPriority w:val="1"/>
    <w:qFormat/>
    <w:rsid w:val="004901DC"/>
    <w:pPr>
      <w:spacing w:after="0" w:line="240" w:lineRule="auto"/>
    </w:pPr>
  </w:style>
  <w:style w:type="paragraph" w:styleId="Revision">
    <w:name w:val="Revision"/>
    <w:hidden/>
    <w:uiPriority w:val="99"/>
    <w:semiHidden/>
    <w:rsid w:val="00F017C2"/>
    <w:pPr>
      <w:spacing w:after="0" w:line="240" w:lineRule="auto"/>
    </w:pPr>
  </w:style>
  <w:style w:type="paragraph" w:styleId="FootnoteText">
    <w:name w:val="footnote text"/>
    <w:basedOn w:val="Normal"/>
    <w:link w:val="FootnoteTextChar"/>
    <w:uiPriority w:val="99"/>
    <w:semiHidden/>
    <w:unhideWhenUsed/>
    <w:rsid w:val="00B2479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2479C"/>
    <w:rPr>
      <w:sz w:val="20"/>
      <w:szCs w:val="20"/>
    </w:rPr>
  </w:style>
  <w:style w:type="character" w:styleId="FootnoteReference">
    <w:name w:val="footnote reference"/>
    <w:basedOn w:val="DefaultParagraphFont"/>
    <w:uiPriority w:val="99"/>
    <w:semiHidden/>
    <w:unhideWhenUsed/>
    <w:rsid w:val="00B2479C"/>
    <w:rPr>
      <w:vertAlign w:val="superscript"/>
    </w:rPr>
  </w:style>
  <w:style w:type="paragraph" w:customStyle="1" w:styleId="Default">
    <w:name w:val="Default"/>
    <w:rsid w:val="00552525"/>
    <w:pPr>
      <w:autoSpaceDE w:val="0"/>
      <w:autoSpaceDN w:val="0"/>
      <w:adjustRightInd w:val="0"/>
      <w:spacing w:after="0" w:line="240" w:lineRule="auto"/>
    </w:pPr>
    <w:rPr>
      <w:rFonts w:ascii="Arial" w:hAnsi="Arial" w:cs="Arial"/>
      <w:color w:val="000000"/>
      <w:sz w:val="24"/>
      <w:szCs w:val="24"/>
    </w:rPr>
  </w:style>
  <w:style w:type="paragraph" w:customStyle="1" w:styleId="AgendaItemReference">
    <w:name w:val="Agenda Item Reference"/>
    <w:basedOn w:val="Normal"/>
    <w:rsid w:val="005B6128"/>
    <w:pPr>
      <w:spacing w:after="0" w:line="240" w:lineRule="auto"/>
      <w:jc w:val="right"/>
    </w:pPr>
    <w:rPr>
      <w:rFonts w:ascii="Times New Roman" w:eastAsia="Times New Roman" w:hAnsi="Times New Roman" w:cs="Times New Roman"/>
      <w:b/>
      <w:sz w:val="24"/>
      <w:szCs w:val="24"/>
    </w:rPr>
  </w:style>
  <w:style w:type="paragraph" w:customStyle="1" w:styleId="Recommendation">
    <w:name w:val="Recommendation"/>
    <w:basedOn w:val="Normal"/>
    <w:rsid w:val="005B6128"/>
    <w:pPr>
      <w:numPr>
        <w:numId w:val="19"/>
      </w:numPr>
      <w:spacing w:after="0" w:line="240" w:lineRule="auto"/>
    </w:pPr>
    <w:rPr>
      <w:rFonts w:ascii="Times New Roman" w:eastAsia="Times New Roman" w:hAnsi="Times New Roman" w:cs="Times New Roman"/>
      <w:sz w:val="24"/>
      <w:szCs w:val="20"/>
    </w:rPr>
  </w:style>
  <w:style w:type="paragraph" w:customStyle="1" w:styleId="Recommendation-SubPoint">
    <w:name w:val="Recommendation - Sub Point"/>
    <w:basedOn w:val="Normal"/>
    <w:rsid w:val="005B6128"/>
    <w:pPr>
      <w:numPr>
        <w:ilvl w:val="1"/>
        <w:numId w:val="19"/>
      </w:numPr>
      <w:spacing w:after="0" w:line="240" w:lineRule="auto"/>
    </w:pPr>
    <w:rPr>
      <w:rFonts w:ascii="Times New Roman" w:eastAsia="Times New Roman" w:hAnsi="Times New Roman" w:cs="Times New Roman"/>
      <w:sz w:val="24"/>
      <w:szCs w:val="20"/>
    </w:rPr>
  </w:style>
  <w:style w:type="paragraph" w:customStyle="1" w:styleId="Recommendation-SubSub-point">
    <w:name w:val="Recommendation - Sub Sub-point"/>
    <w:basedOn w:val="Normal"/>
    <w:rsid w:val="005B6128"/>
    <w:pPr>
      <w:numPr>
        <w:ilvl w:val="2"/>
        <w:numId w:val="19"/>
      </w:numPr>
      <w:spacing w:after="0" w:line="240" w:lineRule="auto"/>
    </w:pPr>
    <w:rPr>
      <w:rFonts w:ascii="Times New Roman" w:eastAsia="Times New Roman" w:hAnsi="Times New Roman" w:cs="Times New Roman"/>
      <w:sz w:val="24"/>
      <w:szCs w:val="20"/>
    </w:rPr>
  </w:style>
  <w:style w:type="paragraph" w:styleId="EndnoteText">
    <w:name w:val="endnote text"/>
    <w:basedOn w:val="Normal"/>
    <w:link w:val="EndnoteTextChar"/>
    <w:uiPriority w:val="99"/>
    <w:semiHidden/>
    <w:unhideWhenUsed/>
    <w:rsid w:val="00D8025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80258"/>
    <w:rPr>
      <w:sz w:val="20"/>
      <w:szCs w:val="20"/>
    </w:rPr>
  </w:style>
  <w:style w:type="character" w:styleId="EndnoteReference">
    <w:name w:val="endnote reference"/>
    <w:basedOn w:val="DefaultParagraphFont"/>
    <w:uiPriority w:val="99"/>
    <w:semiHidden/>
    <w:unhideWhenUsed/>
    <w:rsid w:val="00D80258"/>
    <w:rPr>
      <w:vertAlign w:val="superscript"/>
    </w:rPr>
  </w:style>
  <w:style w:type="paragraph" w:styleId="ListNumber">
    <w:name w:val="List Number"/>
    <w:basedOn w:val="Normal"/>
    <w:uiPriority w:val="1"/>
    <w:unhideWhenUsed/>
    <w:qFormat/>
    <w:rsid w:val="00500D0B"/>
    <w:pPr>
      <w:numPr>
        <w:numId w:val="24"/>
      </w:numPr>
      <w:spacing w:after="120" w:line="288" w:lineRule="auto"/>
    </w:pPr>
    <w:rPr>
      <w:rFonts w:ascii="Times New Roman" w:hAnsi="Times New Roman"/>
      <w:color w:val="595959" w:themeColor="text1" w:themeTint="A6"/>
      <w:kern w:val="20"/>
      <w:sz w:val="24"/>
      <w:lang w:val="en-GB" w:eastAsia="ja-JP"/>
    </w:rPr>
  </w:style>
  <w:style w:type="paragraph" w:styleId="ListNumber2">
    <w:name w:val="List Number 2"/>
    <w:uiPriority w:val="1"/>
    <w:unhideWhenUsed/>
    <w:qFormat/>
    <w:rsid w:val="00500D0B"/>
    <w:pPr>
      <w:numPr>
        <w:ilvl w:val="1"/>
        <w:numId w:val="24"/>
      </w:numPr>
      <w:spacing w:before="40" w:line="288" w:lineRule="auto"/>
      <w:contextualSpacing/>
    </w:pPr>
    <w:rPr>
      <w:rFonts w:asciiTheme="majorHAnsi" w:hAnsiTheme="majorHAnsi"/>
      <w:color w:val="595959" w:themeColor="text1" w:themeTint="A6"/>
      <w:kern w:val="20"/>
      <w:szCs w:val="20"/>
      <w:lang w:val="en-US" w:eastAsia="ja-JP"/>
    </w:rPr>
  </w:style>
  <w:style w:type="paragraph" w:styleId="ListNumber3">
    <w:name w:val="List Number 3"/>
    <w:uiPriority w:val="18"/>
    <w:unhideWhenUsed/>
    <w:qFormat/>
    <w:rsid w:val="00500D0B"/>
    <w:pPr>
      <w:numPr>
        <w:ilvl w:val="2"/>
        <w:numId w:val="24"/>
      </w:numPr>
      <w:spacing w:before="40" w:line="288" w:lineRule="auto"/>
      <w:contextualSpacing/>
    </w:pPr>
    <w:rPr>
      <w:rFonts w:asciiTheme="majorHAnsi" w:hAnsiTheme="majorHAnsi"/>
      <w:color w:val="595959" w:themeColor="text1" w:themeTint="A6"/>
      <w:kern w:val="20"/>
      <w:szCs w:val="20"/>
      <w:lang w:val="en-US" w:eastAsia="ja-JP"/>
    </w:rPr>
  </w:style>
  <w:style w:type="paragraph" w:styleId="ListNumber4">
    <w:name w:val="List Number 4"/>
    <w:basedOn w:val="Normal"/>
    <w:uiPriority w:val="18"/>
    <w:unhideWhenUsed/>
    <w:rsid w:val="00500D0B"/>
    <w:pPr>
      <w:numPr>
        <w:ilvl w:val="3"/>
        <w:numId w:val="24"/>
      </w:numPr>
      <w:spacing w:after="240" w:line="288" w:lineRule="auto"/>
      <w:contextualSpacing/>
    </w:pPr>
    <w:rPr>
      <w:rFonts w:ascii="Times New Roman" w:hAnsi="Times New Roman"/>
      <w:color w:val="595959" w:themeColor="text1" w:themeTint="A6"/>
      <w:kern w:val="20"/>
      <w:sz w:val="24"/>
      <w:lang w:val="en-GB" w:eastAsia="ja-JP"/>
    </w:rPr>
  </w:style>
  <w:style w:type="paragraph" w:styleId="ListNumber5">
    <w:name w:val="List Number 5"/>
    <w:basedOn w:val="Normal"/>
    <w:uiPriority w:val="18"/>
    <w:unhideWhenUsed/>
    <w:rsid w:val="00500D0B"/>
    <w:pPr>
      <w:numPr>
        <w:ilvl w:val="4"/>
        <w:numId w:val="24"/>
      </w:numPr>
      <w:spacing w:after="240" w:line="288" w:lineRule="auto"/>
      <w:contextualSpacing/>
    </w:pPr>
    <w:rPr>
      <w:rFonts w:ascii="Times New Roman" w:hAnsi="Times New Roman"/>
      <w:color w:val="595959" w:themeColor="text1" w:themeTint="A6"/>
      <w:kern w:val="20"/>
      <w:sz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147031">
      <w:bodyDiv w:val="1"/>
      <w:marLeft w:val="0"/>
      <w:marRight w:val="0"/>
      <w:marTop w:val="0"/>
      <w:marBottom w:val="0"/>
      <w:divBdr>
        <w:top w:val="none" w:sz="0" w:space="0" w:color="auto"/>
        <w:left w:val="none" w:sz="0" w:space="0" w:color="auto"/>
        <w:bottom w:val="none" w:sz="0" w:space="0" w:color="auto"/>
        <w:right w:val="none" w:sz="0" w:space="0" w:color="auto"/>
      </w:divBdr>
    </w:div>
    <w:div w:id="115149505">
      <w:bodyDiv w:val="1"/>
      <w:marLeft w:val="0"/>
      <w:marRight w:val="0"/>
      <w:marTop w:val="0"/>
      <w:marBottom w:val="0"/>
      <w:divBdr>
        <w:top w:val="none" w:sz="0" w:space="0" w:color="auto"/>
        <w:left w:val="none" w:sz="0" w:space="0" w:color="auto"/>
        <w:bottom w:val="none" w:sz="0" w:space="0" w:color="auto"/>
        <w:right w:val="none" w:sz="0" w:space="0" w:color="auto"/>
      </w:divBdr>
    </w:div>
    <w:div w:id="269510600">
      <w:bodyDiv w:val="1"/>
      <w:marLeft w:val="0"/>
      <w:marRight w:val="0"/>
      <w:marTop w:val="0"/>
      <w:marBottom w:val="0"/>
      <w:divBdr>
        <w:top w:val="none" w:sz="0" w:space="0" w:color="auto"/>
        <w:left w:val="none" w:sz="0" w:space="0" w:color="auto"/>
        <w:bottom w:val="none" w:sz="0" w:space="0" w:color="auto"/>
        <w:right w:val="none" w:sz="0" w:space="0" w:color="auto"/>
      </w:divBdr>
      <w:divsChild>
        <w:div w:id="628244255">
          <w:marLeft w:val="0"/>
          <w:marRight w:val="0"/>
          <w:marTop w:val="0"/>
          <w:marBottom w:val="0"/>
          <w:divBdr>
            <w:top w:val="none" w:sz="0" w:space="0" w:color="auto"/>
            <w:left w:val="none" w:sz="0" w:space="0" w:color="auto"/>
            <w:bottom w:val="none" w:sz="0" w:space="0" w:color="auto"/>
            <w:right w:val="none" w:sz="0" w:space="0" w:color="auto"/>
          </w:divBdr>
          <w:divsChild>
            <w:div w:id="1797526086">
              <w:marLeft w:val="0"/>
              <w:marRight w:val="0"/>
              <w:marTop w:val="0"/>
              <w:marBottom w:val="0"/>
              <w:divBdr>
                <w:top w:val="none" w:sz="0" w:space="0" w:color="auto"/>
                <w:left w:val="none" w:sz="0" w:space="0" w:color="auto"/>
                <w:bottom w:val="none" w:sz="0" w:space="0" w:color="auto"/>
                <w:right w:val="none" w:sz="0" w:space="0" w:color="auto"/>
              </w:divBdr>
              <w:divsChild>
                <w:div w:id="402141807">
                  <w:marLeft w:val="0"/>
                  <w:marRight w:val="0"/>
                  <w:marTop w:val="0"/>
                  <w:marBottom w:val="0"/>
                  <w:divBdr>
                    <w:top w:val="none" w:sz="0" w:space="0" w:color="auto"/>
                    <w:left w:val="none" w:sz="0" w:space="0" w:color="auto"/>
                    <w:bottom w:val="none" w:sz="0" w:space="0" w:color="auto"/>
                    <w:right w:val="none" w:sz="0" w:space="0" w:color="auto"/>
                  </w:divBdr>
                  <w:divsChild>
                    <w:div w:id="1534614869">
                      <w:marLeft w:val="-225"/>
                      <w:marRight w:val="-225"/>
                      <w:marTop w:val="0"/>
                      <w:marBottom w:val="0"/>
                      <w:divBdr>
                        <w:top w:val="none" w:sz="0" w:space="0" w:color="auto"/>
                        <w:left w:val="none" w:sz="0" w:space="0" w:color="auto"/>
                        <w:bottom w:val="none" w:sz="0" w:space="0" w:color="auto"/>
                        <w:right w:val="none" w:sz="0" w:space="0" w:color="auto"/>
                      </w:divBdr>
                      <w:divsChild>
                        <w:div w:id="417991339">
                          <w:marLeft w:val="0"/>
                          <w:marRight w:val="0"/>
                          <w:marTop w:val="0"/>
                          <w:marBottom w:val="0"/>
                          <w:divBdr>
                            <w:top w:val="none" w:sz="0" w:space="0" w:color="auto"/>
                            <w:left w:val="none" w:sz="0" w:space="0" w:color="auto"/>
                            <w:bottom w:val="none" w:sz="0" w:space="0" w:color="auto"/>
                            <w:right w:val="none" w:sz="0" w:space="0" w:color="auto"/>
                          </w:divBdr>
                          <w:divsChild>
                            <w:div w:id="549658984">
                              <w:marLeft w:val="0"/>
                              <w:marRight w:val="0"/>
                              <w:marTop w:val="0"/>
                              <w:marBottom w:val="0"/>
                              <w:divBdr>
                                <w:top w:val="none" w:sz="0" w:space="0" w:color="auto"/>
                                <w:left w:val="none" w:sz="0" w:space="0" w:color="auto"/>
                                <w:bottom w:val="none" w:sz="0" w:space="0" w:color="auto"/>
                                <w:right w:val="none" w:sz="0" w:space="0" w:color="auto"/>
                              </w:divBdr>
                              <w:divsChild>
                                <w:div w:id="1094977954">
                                  <w:marLeft w:val="0"/>
                                  <w:marRight w:val="0"/>
                                  <w:marTop w:val="0"/>
                                  <w:marBottom w:val="0"/>
                                  <w:divBdr>
                                    <w:top w:val="none" w:sz="0" w:space="0" w:color="auto"/>
                                    <w:left w:val="none" w:sz="0" w:space="0" w:color="auto"/>
                                    <w:bottom w:val="none" w:sz="0" w:space="0" w:color="auto"/>
                                    <w:right w:val="none" w:sz="0" w:space="0" w:color="auto"/>
                                  </w:divBdr>
                                  <w:divsChild>
                                    <w:div w:id="1215659115">
                                      <w:marLeft w:val="0"/>
                                      <w:marRight w:val="0"/>
                                      <w:marTop w:val="0"/>
                                      <w:marBottom w:val="0"/>
                                      <w:divBdr>
                                        <w:top w:val="none" w:sz="0" w:space="0" w:color="auto"/>
                                        <w:left w:val="none" w:sz="0" w:space="0" w:color="auto"/>
                                        <w:bottom w:val="none" w:sz="0" w:space="0" w:color="auto"/>
                                        <w:right w:val="none" w:sz="0" w:space="0" w:color="auto"/>
                                      </w:divBdr>
                                      <w:divsChild>
                                        <w:div w:id="209729395">
                                          <w:marLeft w:val="0"/>
                                          <w:marRight w:val="0"/>
                                          <w:marTop w:val="0"/>
                                          <w:marBottom w:val="0"/>
                                          <w:divBdr>
                                            <w:top w:val="none" w:sz="0" w:space="0" w:color="auto"/>
                                            <w:left w:val="none" w:sz="0" w:space="0" w:color="auto"/>
                                            <w:bottom w:val="none" w:sz="0" w:space="0" w:color="auto"/>
                                            <w:right w:val="none" w:sz="0" w:space="0" w:color="auto"/>
                                          </w:divBdr>
                                          <w:divsChild>
                                            <w:div w:id="955521730">
                                              <w:marLeft w:val="0"/>
                                              <w:marRight w:val="0"/>
                                              <w:marTop w:val="0"/>
                                              <w:marBottom w:val="0"/>
                                              <w:divBdr>
                                                <w:top w:val="none" w:sz="0" w:space="0" w:color="auto"/>
                                                <w:left w:val="none" w:sz="0" w:space="0" w:color="auto"/>
                                                <w:bottom w:val="none" w:sz="0" w:space="0" w:color="auto"/>
                                                <w:right w:val="none" w:sz="0" w:space="0" w:color="auto"/>
                                              </w:divBdr>
                                              <w:divsChild>
                                                <w:div w:id="1236161737">
                                                  <w:marLeft w:val="0"/>
                                                  <w:marRight w:val="0"/>
                                                  <w:marTop w:val="0"/>
                                                  <w:marBottom w:val="0"/>
                                                  <w:divBdr>
                                                    <w:top w:val="none" w:sz="0" w:space="0" w:color="auto"/>
                                                    <w:left w:val="none" w:sz="0" w:space="0" w:color="auto"/>
                                                    <w:bottom w:val="none" w:sz="0" w:space="0" w:color="auto"/>
                                                    <w:right w:val="none" w:sz="0" w:space="0" w:color="auto"/>
                                                  </w:divBdr>
                                                  <w:divsChild>
                                                    <w:div w:id="939870702">
                                                      <w:marLeft w:val="0"/>
                                                      <w:marRight w:val="0"/>
                                                      <w:marTop w:val="0"/>
                                                      <w:marBottom w:val="0"/>
                                                      <w:divBdr>
                                                        <w:top w:val="none" w:sz="0" w:space="0" w:color="auto"/>
                                                        <w:left w:val="none" w:sz="0" w:space="0" w:color="auto"/>
                                                        <w:bottom w:val="none" w:sz="0" w:space="0" w:color="auto"/>
                                                        <w:right w:val="none" w:sz="0" w:space="0" w:color="auto"/>
                                                      </w:divBdr>
                                                      <w:divsChild>
                                                        <w:div w:id="178326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59284034">
      <w:bodyDiv w:val="1"/>
      <w:marLeft w:val="0"/>
      <w:marRight w:val="0"/>
      <w:marTop w:val="0"/>
      <w:marBottom w:val="0"/>
      <w:divBdr>
        <w:top w:val="none" w:sz="0" w:space="0" w:color="auto"/>
        <w:left w:val="none" w:sz="0" w:space="0" w:color="auto"/>
        <w:bottom w:val="none" w:sz="0" w:space="0" w:color="auto"/>
        <w:right w:val="none" w:sz="0" w:space="0" w:color="auto"/>
      </w:divBdr>
    </w:div>
    <w:div w:id="381709024">
      <w:bodyDiv w:val="1"/>
      <w:marLeft w:val="0"/>
      <w:marRight w:val="0"/>
      <w:marTop w:val="0"/>
      <w:marBottom w:val="0"/>
      <w:divBdr>
        <w:top w:val="none" w:sz="0" w:space="0" w:color="auto"/>
        <w:left w:val="none" w:sz="0" w:space="0" w:color="auto"/>
        <w:bottom w:val="none" w:sz="0" w:space="0" w:color="auto"/>
        <w:right w:val="none" w:sz="0" w:space="0" w:color="auto"/>
      </w:divBdr>
    </w:div>
    <w:div w:id="456146741">
      <w:bodyDiv w:val="1"/>
      <w:marLeft w:val="0"/>
      <w:marRight w:val="0"/>
      <w:marTop w:val="0"/>
      <w:marBottom w:val="0"/>
      <w:divBdr>
        <w:top w:val="none" w:sz="0" w:space="0" w:color="auto"/>
        <w:left w:val="none" w:sz="0" w:space="0" w:color="auto"/>
        <w:bottom w:val="none" w:sz="0" w:space="0" w:color="auto"/>
        <w:right w:val="none" w:sz="0" w:space="0" w:color="auto"/>
      </w:divBdr>
    </w:div>
    <w:div w:id="606931515">
      <w:bodyDiv w:val="1"/>
      <w:marLeft w:val="0"/>
      <w:marRight w:val="0"/>
      <w:marTop w:val="0"/>
      <w:marBottom w:val="0"/>
      <w:divBdr>
        <w:top w:val="none" w:sz="0" w:space="0" w:color="auto"/>
        <w:left w:val="none" w:sz="0" w:space="0" w:color="auto"/>
        <w:bottom w:val="none" w:sz="0" w:space="0" w:color="auto"/>
        <w:right w:val="none" w:sz="0" w:space="0" w:color="auto"/>
      </w:divBdr>
    </w:div>
    <w:div w:id="655695139">
      <w:bodyDiv w:val="1"/>
      <w:marLeft w:val="0"/>
      <w:marRight w:val="0"/>
      <w:marTop w:val="0"/>
      <w:marBottom w:val="0"/>
      <w:divBdr>
        <w:top w:val="none" w:sz="0" w:space="0" w:color="auto"/>
        <w:left w:val="none" w:sz="0" w:space="0" w:color="auto"/>
        <w:bottom w:val="none" w:sz="0" w:space="0" w:color="auto"/>
        <w:right w:val="none" w:sz="0" w:space="0" w:color="auto"/>
      </w:divBdr>
    </w:div>
    <w:div w:id="721712924">
      <w:bodyDiv w:val="1"/>
      <w:marLeft w:val="0"/>
      <w:marRight w:val="0"/>
      <w:marTop w:val="0"/>
      <w:marBottom w:val="0"/>
      <w:divBdr>
        <w:top w:val="none" w:sz="0" w:space="0" w:color="auto"/>
        <w:left w:val="none" w:sz="0" w:space="0" w:color="auto"/>
        <w:bottom w:val="none" w:sz="0" w:space="0" w:color="auto"/>
        <w:right w:val="none" w:sz="0" w:space="0" w:color="auto"/>
      </w:divBdr>
    </w:div>
    <w:div w:id="785857139">
      <w:bodyDiv w:val="1"/>
      <w:marLeft w:val="0"/>
      <w:marRight w:val="0"/>
      <w:marTop w:val="0"/>
      <w:marBottom w:val="0"/>
      <w:divBdr>
        <w:top w:val="none" w:sz="0" w:space="0" w:color="auto"/>
        <w:left w:val="none" w:sz="0" w:space="0" w:color="auto"/>
        <w:bottom w:val="none" w:sz="0" w:space="0" w:color="auto"/>
        <w:right w:val="none" w:sz="0" w:space="0" w:color="auto"/>
      </w:divBdr>
      <w:divsChild>
        <w:div w:id="85227930">
          <w:marLeft w:val="0"/>
          <w:marRight w:val="0"/>
          <w:marTop w:val="0"/>
          <w:marBottom w:val="0"/>
          <w:divBdr>
            <w:top w:val="none" w:sz="0" w:space="0" w:color="auto"/>
            <w:left w:val="none" w:sz="0" w:space="0" w:color="auto"/>
            <w:bottom w:val="none" w:sz="0" w:space="0" w:color="auto"/>
            <w:right w:val="none" w:sz="0" w:space="0" w:color="auto"/>
          </w:divBdr>
          <w:divsChild>
            <w:div w:id="2037461276">
              <w:marLeft w:val="0"/>
              <w:marRight w:val="0"/>
              <w:marTop w:val="0"/>
              <w:marBottom w:val="0"/>
              <w:divBdr>
                <w:top w:val="none" w:sz="0" w:space="0" w:color="auto"/>
                <w:left w:val="none" w:sz="0" w:space="0" w:color="auto"/>
                <w:bottom w:val="none" w:sz="0" w:space="0" w:color="auto"/>
                <w:right w:val="none" w:sz="0" w:space="0" w:color="auto"/>
              </w:divBdr>
              <w:divsChild>
                <w:div w:id="1503012333">
                  <w:marLeft w:val="0"/>
                  <w:marRight w:val="0"/>
                  <w:marTop w:val="0"/>
                  <w:marBottom w:val="0"/>
                  <w:divBdr>
                    <w:top w:val="none" w:sz="0" w:space="0" w:color="auto"/>
                    <w:left w:val="none" w:sz="0" w:space="0" w:color="auto"/>
                    <w:bottom w:val="none" w:sz="0" w:space="0" w:color="auto"/>
                    <w:right w:val="none" w:sz="0" w:space="0" w:color="auto"/>
                  </w:divBdr>
                  <w:divsChild>
                    <w:div w:id="1022439133">
                      <w:marLeft w:val="-225"/>
                      <w:marRight w:val="-225"/>
                      <w:marTop w:val="0"/>
                      <w:marBottom w:val="0"/>
                      <w:divBdr>
                        <w:top w:val="none" w:sz="0" w:space="0" w:color="auto"/>
                        <w:left w:val="none" w:sz="0" w:space="0" w:color="auto"/>
                        <w:bottom w:val="none" w:sz="0" w:space="0" w:color="auto"/>
                        <w:right w:val="none" w:sz="0" w:space="0" w:color="auto"/>
                      </w:divBdr>
                      <w:divsChild>
                        <w:div w:id="177621339">
                          <w:marLeft w:val="0"/>
                          <w:marRight w:val="0"/>
                          <w:marTop w:val="0"/>
                          <w:marBottom w:val="0"/>
                          <w:divBdr>
                            <w:top w:val="none" w:sz="0" w:space="0" w:color="auto"/>
                            <w:left w:val="none" w:sz="0" w:space="0" w:color="auto"/>
                            <w:bottom w:val="none" w:sz="0" w:space="0" w:color="auto"/>
                            <w:right w:val="none" w:sz="0" w:space="0" w:color="auto"/>
                          </w:divBdr>
                          <w:divsChild>
                            <w:div w:id="1513641990">
                              <w:marLeft w:val="0"/>
                              <w:marRight w:val="0"/>
                              <w:marTop w:val="0"/>
                              <w:marBottom w:val="0"/>
                              <w:divBdr>
                                <w:top w:val="none" w:sz="0" w:space="0" w:color="auto"/>
                                <w:left w:val="none" w:sz="0" w:space="0" w:color="auto"/>
                                <w:bottom w:val="none" w:sz="0" w:space="0" w:color="auto"/>
                                <w:right w:val="none" w:sz="0" w:space="0" w:color="auto"/>
                              </w:divBdr>
                              <w:divsChild>
                                <w:div w:id="1968925866">
                                  <w:marLeft w:val="0"/>
                                  <w:marRight w:val="0"/>
                                  <w:marTop w:val="0"/>
                                  <w:marBottom w:val="0"/>
                                  <w:divBdr>
                                    <w:top w:val="none" w:sz="0" w:space="0" w:color="auto"/>
                                    <w:left w:val="none" w:sz="0" w:space="0" w:color="auto"/>
                                    <w:bottom w:val="none" w:sz="0" w:space="0" w:color="auto"/>
                                    <w:right w:val="none" w:sz="0" w:space="0" w:color="auto"/>
                                  </w:divBdr>
                                  <w:divsChild>
                                    <w:div w:id="634992670">
                                      <w:marLeft w:val="0"/>
                                      <w:marRight w:val="0"/>
                                      <w:marTop w:val="0"/>
                                      <w:marBottom w:val="0"/>
                                      <w:divBdr>
                                        <w:top w:val="none" w:sz="0" w:space="0" w:color="auto"/>
                                        <w:left w:val="none" w:sz="0" w:space="0" w:color="auto"/>
                                        <w:bottom w:val="none" w:sz="0" w:space="0" w:color="auto"/>
                                        <w:right w:val="none" w:sz="0" w:space="0" w:color="auto"/>
                                      </w:divBdr>
                                      <w:divsChild>
                                        <w:div w:id="1355107521">
                                          <w:marLeft w:val="0"/>
                                          <w:marRight w:val="0"/>
                                          <w:marTop w:val="0"/>
                                          <w:marBottom w:val="0"/>
                                          <w:divBdr>
                                            <w:top w:val="none" w:sz="0" w:space="0" w:color="auto"/>
                                            <w:left w:val="none" w:sz="0" w:space="0" w:color="auto"/>
                                            <w:bottom w:val="none" w:sz="0" w:space="0" w:color="auto"/>
                                            <w:right w:val="none" w:sz="0" w:space="0" w:color="auto"/>
                                          </w:divBdr>
                                          <w:divsChild>
                                            <w:div w:id="2026201294">
                                              <w:marLeft w:val="0"/>
                                              <w:marRight w:val="0"/>
                                              <w:marTop w:val="0"/>
                                              <w:marBottom w:val="0"/>
                                              <w:divBdr>
                                                <w:top w:val="none" w:sz="0" w:space="0" w:color="auto"/>
                                                <w:left w:val="none" w:sz="0" w:space="0" w:color="auto"/>
                                                <w:bottom w:val="none" w:sz="0" w:space="0" w:color="auto"/>
                                                <w:right w:val="none" w:sz="0" w:space="0" w:color="auto"/>
                                              </w:divBdr>
                                              <w:divsChild>
                                                <w:div w:id="1682200061">
                                                  <w:marLeft w:val="0"/>
                                                  <w:marRight w:val="0"/>
                                                  <w:marTop w:val="0"/>
                                                  <w:marBottom w:val="0"/>
                                                  <w:divBdr>
                                                    <w:top w:val="none" w:sz="0" w:space="0" w:color="auto"/>
                                                    <w:left w:val="none" w:sz="0" w:space="0" w:color="auto"/>
                                                    <w:bottom w:val="none" w:sz="0" w:space="0" w:color="auto"/>
                                                    <w:right w:val="none" w:sz="0" w:space="0" w:color="auto"/>
                                                  </w:divBdr>
                                                  <w:divsChild>
                                                    <w:div w:id="914783126">
                                                      <w:marLeft w:val="0"/>
                                                      <w:marRight w:val="0"/>
                                                      <w:marTop w:val="0"/>
                                                      <w:marBottom w:val="0"/>
                                                      <w:divBdr>
                                                        <w:top w:val="none" w:sz="0" w:space="0" w:color="auto"/>
                                                        <w:left w:val="none" w:sz="0" w:space="0" w:color="auto"/>
                                                        <w:bottom w:val="none" w:sz="0" w:space="0" w:color="auto"/>
                                                        <w:right w:val="none" w:sz="0" w:space="0" w:color="auto"/>
                                                      </w:divBdr>
                                                      <w:divsChild>
                                                        <w:div w:id="2406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17260949">
      <w:bodyDiv w:val="1"/>
      <w:marLeft w:val="0"/>
      <w:marRight w:val="0"/>
      <w:marTop w:val="0"/>
      <w:marBottom w:val="0"/>
      <w:divBdr>
        <w:top w:val="none" w:sz="0" w:space="0" w:color="auto"/>
        <w:left w:val="none" w:sz="0" w:space="0" w:color="auto"/>
        <w:bottom w:val="none" w:sz="0" w:space="0" w:color="auto"/>
        <w:right w:val="none" w:sz="0" w:space="0" w:color="auto"/>
      </w:divBdr>
    </w:div>
    <w:div w:id="1120033656">
      <w:bodyDiv w:val="1"/>
      <w:marLeft w:val="0"/>
      <w:marRight w:val="0"/>
      <w:marTop w:val="0"/>
      <w:marBottom w:val="0"/>
      <w:divBdr>
        <w:top w:val="none" w:sz="0" w:space="0" w:color="auto"/>
        <w:left w:val="none" w:sz="0" w:space="0" w:color="auto"/>
        <w:bottom w:val="none" w:sz="0" w:space="0" w:color="auto"/>
        <w:right w:val="none" w:sz="0" w:space="0" w:color="auto"/>
      </w:divBdr>
    </w:div>
    <w:div w:id="1193303925">
      <w:bodyDiv w:val="1"/>
      <w:marLeft w:val="0"/>
      <w:marRight w:val="0"/>
      <w:marTop w:val="0"/>
      <w:marBottom w:val="0"/>
      <w:divBdr>
        <w:top w:val="none" w:sz="0" w:space="0" w:color="auto"/>
        <w:left w:val="none" w:sz="0" w:space="0" w:color="auto"/>
        <w:bottom w:val="none" w:sz="0" w:space="0" w:color="auto"/>
        <w:right w:val="none" w:sz="0" w:space="0" w:color="auto"/>
      </w:divBdr>
    </w:div>
    <w:div w:id="1330133798">
      <w:bodyDiv w:val="1"/>
      <w:marLeft w:val="0"/>
      <w:marRight w:val="0"/>
      <w:marTop w:val="0"/>
      <w:marBottom w:val="0"/>
      <w:divBdr>
        <w:top w:val="none" w:sz="0" w:space="0" w:color="auto"/>
        <w:left w:val="none" w:sz="0" w:space="0" w:color="auto"/>
        <w:bottom w:val="none" w:sz="0" w:space="0" w:color="auto"/>
        <w:right w:val="none" w:sz="0" w:space="0" w:color="auto"/>
      </w:divBdr>
    </w:div>
    <w:div w:id="1347055171">
      <w:bodyDiv w:val="1"/>
      <w:marLeft w:val="0"/>
      <w:marRight w:val="0"/>
      <w:marTop w:val="0"/>
      <w:marBottom w:val="0"/>
      <w:divBdr>
        <w:top w:val="none" w:sz="0" w:space="0" w:color="auto"/>
        <w:left w:val="none" w:sz="0" w:space="0" w:color="auto"/>
        <w:bottom w:val="none" w:sz="0" w:space="0" w:color="auto"/>
        <w:right w:val="none" w:sz="0" w:space="0" w:color="auto"/>
      </w:divBdr>
    </w:div>
    <w:div w:id="1462962754">
      <w:bodyDiv w:val="1"/>
      <w:marLeft w:val="0"/>
      <w:marRight w:val="0"/>
      <w:marTop w:val="0"/>
      <w:marBottom w:val="0"/>
      <w:divBdr>
        <w:top w:val="none" w:sz="0" w:space="0" w:color="auto"/>
        <w:left w:val="none" w:sz="0" w:space="0" w:color="auto"/>
        <w:bottom w:val="none" w:sz="0" w:space="0" w:color="auto"/>
        <w:right w:val="none" w:sz="0" w:space="0" w:color="auto"/>
      </w:divBdr>
    </w:div>
    <w:div w:id="1662082188">
      <w:bodyDiv w:val="1"/>
      <w:marLeft w:val="0"/>
      <w:marRight w:val="0"/>
      <w:marTop w:val="0"/>
      <w:marBottom w:val="0"/>
      <w:divBdr>
        <w:top w:val="none" w:sz="0" w:space="0" w:color="auto"/>
        <w:left w:val="none" w:sz="0" w:space="0" w:color="auto"/>
        <w:bottom w:val="none" w:sz="0" w:space="0" w:color="auto"/>
        <w:right w:val="none" w:sz="0" w:space="0" w:color="auto"/>
      </w:divBdr>
    </w:div>
    <w:div w:id="1684360804">
      <w:bodyDiv w:val="1"/>
      <w:marLeft w:val="0"/>
      <w:marRight w:val="0"/>
      <w:marTop w:val="0"/>
      <w:marBottom w:val="0"/>
      <w:divBdr>
        <w:top w:val="none" w:sz="0" w:space="0" w:color="auto"/>
        <w:left w:val="none" w:sz="0" w:space="0" w:color="auto"/>
        <w:bottom w:val="none" w:sz="0" w:space="0" w:color="auto"/>
        <w:right w:val="none" w:sz="0" w:space="0" w:color="auto"/>
      </w:divBdr>
    </w:div>
    <w:div w:id="1963338538">
      <w:bodyDiv w:val="1"/>
      <w:marLeft w:val="0"/>
      <w:marRight w:val="0"/>
      <w:marTop w:val="0"/>
      <w:marBottom w:val="0"/>
      <w:divBdr>
        <w:top w:val="none" w:sz="0" w:space="0" w:color="auto"/>
        <w:left w:val="none" w:sz="0" w:space="0" w:color="auto"/>
        <w:bottom w:val="none" w:sz="0" w:space="0" w:color="auto"/>
        <w:right w:val="none" w:sz="0" w:space="0" w:color="auto"/>
      </w:divBdr>
    </w:div>
    <w:div w:id="2017734068">
      <w:bodyDiv w:val="1"/>
      <w:marLeft w:val="0"/>
      <w:marRight w:val="0"/>
      <w:marTop w:val="0"/>
      <w:marBottom w:val="0"/>
      <w:divBdr>
        <w:top w:val="none" w:sz="0" w:space="0" w:color="auto"/>
        <w:left w:val="none" w:sz="0" w:space="0" w:color="auto"/>
        <w:bottom w:val="none" w:sz="0" w:space="0" w:color="auto"/>
        <w:right w:val="none" w:sz="0" w:space="0" w:color="auto"/>
      </w:divBdr>
    </w:div>
    <w:div w:id="2114784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MC Document" ma:contentTypeID="0x0101002825A64A6E1845A99A9D8EE8A5686ECB009B58D7D72C3ED54C851955501673F8AC" ma:contentTypeVersion="11" ma:contentTypeDescription="PMC Document" ma:contentTypeScope="" ma:versionID="dce88d5783c8e6ea69d4384014b5f83d">
  <xsd:schema xmlns:xsd="http://www.w3.org/2001/XMLSchema" xmlns:xs="http://www.w3.org/2001/XMLSchema" xmlns:p="http://schemas.microsoft.com/office/2006/metadata/properties" xmlns:ns1="166541c0-0594-4e6a-9105-c24d4b6de6f7" xmlns:ns3="685f9fda-bd71-4433-b331-92feb9553089" targetNamespace="http://schemas.microsoft.com/office/2006/metadata/properties" ma:root="true" ma:fieldsID="35b41bab6e866c3568f1ad78d1998483" ns1:_="" ns3:_="">
    <xsd:import namespace="166541c0-0594-4e6a-9105-c24d4b6de6f7"/>
    <xsd:import namespace="685f9fda-bd71-4433-b331-92feb9553089"/>
    <xsd:element name="properties">
      <xsd:complexType>
        <xsd:sequence>
          <xsd:element name="documentManagement">
            <xsd:complexType>
              <xsd:all>
                <xsd:element ref="ns1:ShareHubID" minOccurs="0"/>
                <xsd:element ref="ns3:NonRecordJustification"/>
                <xsd:element ref="ns1:PMCNotes" minOccurs="0"/>
                <xsd:element ref="ns1:mc5611b894cf49d8aeeb8ebf39dc09bc" minOccurs="0"/>
                <xsd:element ref="ns1:TaxCatchAll" minOccurs="0"/>
                <xsd:element ref="ns1:TaxCatchAllLabel" minOccurs="0"/>
                <xsd:element ref="ns1:jd1c641577414dfdab1686c9d5d0dbd0" minOccurs="0"/>
                <xsd:element ref="ns1:SharedWithUsers" minOccurs="0"/>
                <xsd:element ref="ns1:hc4a8f51d7584793bcee84017ea96cb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6541c0-0594-4e6a-9105-c24d4b6de6f7" elementFormDefault="qualified">
    <xsd:import namespace="http://schemas.microsoft.com/office/2006/documentManagement/types"/>
    <xsd:import namespace="http://schemas.microsoft.com/office/infopath/2007/PartnerControls"/>
    <xsd:element name="ShareHubID" ma:index="0" nillable="true" ma:displayName="Record ID" ma:indexed="true" ma:internalName="ShareHubID">
      <xsd:simpleType>
        <xsd:restriction base="dms:Text">
          <xsd:maxLength value="255"/>
        </xsd:restriction>
      </xsd:simpleType>
    </xsd:element>
    <xsd:element name="PMCNotes" ma:index="6" nillable="true" ma:displayName="Notes" ma:internalName="PMCNotes">
      <xsd:simpleType>
        <xsd:restriction base="dms:Note">
          <xsd:maxLength value="255"/>
        </xsd:restriction>
      </xsd:simpleType>
    </xsd:element>
    <xsd:element name="mc5611b894cf49d8aeeb8ebf39dc09bc" ma:index="8" ma:taxonomy="true" ma:internalName="mc5611b894cf49d8aeeb8ebf39dc09bc" ma:taxonomyFieldName="HPRMSecurityLevel" ma:displayName="Security Level" ma:default="1;#UNCLASSIFIED|9c49a7c7-17c7-412f-8077-62dec89b9196" ma:fieldId="{6c5611b8-94cf-49d8-aeeb-8ebf39dc09bc}" ma:sspId="fdd71c70-8dda-4116-8995-314ca52d638a" ma:termSetId="ad616a2a-2f34-42df-868f-846f11d5d891"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aea88e85-05a7-4360-91dc-760ce9bb3d8d}" ma:internalName="TaxCatchAll" ma:showField="CatchAllData" ma:web="166541c0-0594-4e6a-9105-c24d4b6de6f7">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aea88e85-05a7-4360-91dc-760ce9bb3d8d}" ma:internalName="TaxCatchAllLabel" ma:readOnly="true" ma:showField="CatchAllDataLabel" ma:web="166541c0-0594-4e6a-9105-c24d4b6de6f7">
      <xsd:complexType>
        <xsd:complexContent>
          <xsd:extension base="dms:MultiChoiceLookup">
            <xsd:sequence>
              <xsd:element name="Value" type="dms:Lookup" maxOccurs="unbounded" minOccurs="0" nillable="true"/>
            </xsd:sequence>
          </xsd:extension>
        </xsd:complexContent>
      </xsd:complexType>
    </xsd:element>
    <xsd:element name="jd1c641577414dfdab1686c9d5d0dbd0" ma:index="12" nillable="true" ma:taxonomy="true" ma:internalName="jd1c641577414dfdab1686c9d5d0dbd0" ma:taxonomyFieldName="HPRMSecurityCaveat" ma:displayName="DLM" ma:fieldId="{3d1c6415-7741-4dfd-ab16-86c9d5d0dbd0}" ma:taxonomyMulti="true" ma:sspId="fdd71c70-8dda-4116-8995-314ca52d638a" ma:termSetId="4779c3b8-a320-4a06-b8c8-666ff4292a5a" ma:anchorId="00000000-0000-0000-0000-000000000000" ma:open="false" ma:isKeyword="false">
      <xsd:complexType>
        <xsd:sequence>
          <xsd:element ref="pc:Terms" minOccurs="0" maxOccurs="1"/>
        </xsd:sequence>
      </xsd:complexType>
    </xsd:element>
    <xsd:element name="SharedWithUsers" ma:index="17"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c4a8f51d7584793bcee84017ea96cb3" ma:index="18" nillable="true" ma:taxonomy="true" ma:internalName="hc4a8f51d7584793bcee84017ea96cb3" ma:taxonomyFieldName="ESearchTags" ma:displayName="Tags" ma:fieldId="{1c4a8f51-d758-4793-bcee-84017ea96cb3}" ma:taxonomyMulti="true" ma:sspId="fdd71c70-8dda-4116-8995-314ca52d638a" ma:termSetId="8f252924-ebd5-4b35-b39d-81596a6204b5"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85f9fda-bd71-4433-b331-92feb9553089" elementFormDefault="qualified">
    <xsd:import namespace="http://schemas.microsoft.com/office/2006/documentManagement/types"/>
    <xsd:import namespace="http://schemas.microsoft.com/office/infopath/2007/PartnerControls"/>
    <xsd:element name="NonRecordJustification" ma:index="5" ma:displayName="Non-record justification" ma:default="None" ma:format="Dropdown" ma:internalName="NonRecordJustification">
      <xsd:simpleType>
        <xsd:restriction base="dms:Choice">
          <xsd:enumeration value="None"/>
          <xsd:enumeration value="Not defined as a record under the Archives Act of 1983"/>
          <xsd:enumeration value="Duplicate or low value item"/>
          <xsd:enumeration value="Superced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nRecordJustification xmlns="685f9fda-bd71-4433-b331-92feb9553089">None</NonRecordJustification>
    <PMCNotes xmlns="166541c0-0594-4e6a-9105-c24d4b6de6f7" xsi:nil="true"/>
    <mc5611b894cf49d8aeeb8ebf39dc09bc xmlns="166541c0-0594-4e6a-9105-c24d4b6de6f7">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9c49a7c7-17c7-412f-8077-62dec89b9196</TermId>
        </TermInfo>
      </Terms>
    </mc5611b894cf49d8aeeb8ebf39dc09bc>
    <jd1c641577414dfdab1686c9d5d0dbd0 xmlns="166541c0-0594-4e6a-9105-c24d4b6de6f7">
      <Terms xmlns="http://schemas.microsoft.com/office/infopath/2007/PartnerControls"/>
    </jd1c641577414dfdab1686c9d5d0dbd0>
    <ShareHubID xmlns="166541c0-0594-4e6a-9105-c24d4b6de6f7">DOC18-426129</ShareHubID>
    <TaxCatchAll xmlns="166541c0-0594-4e6a-9105-c24d4b6de6f7">
      <Value>1</Value>
    </TaxCatchAll>
    <hc4a8f51d7584793bcee84017ea96cb3 xmlns="166541c0-0594-4e6a-9105-c24d4b6de6f7">
      <Terms xmlns="http://schemas.microsoft.com/office/infopath/2007/PartnerControls"/>
    </hc4a8f51d7584793bcee84017ea96cb3>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7E88F9-DF07-4C65-8154-36FBF7633A2A}"/>
</file>

<file path=customXml/itemProps2.xml><?xml version="1.0" encoding="utf-8"?>
<ds:datastoreItem xmlns:ds="http://schemas.openxmlformats.org/officeDocument/2006/customXml" ds:itemID="{D98FCABB-988C-4ED8-AF45-9403D1CB688D}"/>
</file>

<file path=customXml/itemProps3.xml><?xml version="1.0" encoding="utf-8"?>
<ds:datastoreItem xmlns:ds="http://schemas.openxmlformats.org/officeDocument/2006/customXml" ds:itemID="{3ED7C543-D802-43ED-B3FB-7A340099581C}"/>
</file>

<file path=customXml/itemProps4.xml><?xml version="1.0" encoding="utf-8"?>
<ds:datastoreItem xmlns:ds="http://schemas.openxmlformats.org/officeDocument/2006/customXml" ds:itemID="{764E1175-1830-463F-B198-3C38AF1151EA}"/>
</file>

<file path=docProps/app.xml><?xml version="1.0" encoding="utf-8"?>
<Properties xmlns="http://schemas.openxmlformats.org/officeDocument/2006/extended-properties" xmlns:vt="http://schemas.openxmlformats.org/officeDocument/2006/docPropsVTypes">
  <Template>D8220654.dotm</Template>
  <TotalTime>239</TotalTime>
  <Pages>9</Pages>
  <Words>3425</Words>
  <Characters>19528</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Department of the Prime Minister and Cabinet</Company>
  <LinksUpToDate>false</LinksUpToDate>
  <CharactersWithSpaces>22908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COAG Statement - Closing the Gap Refresh</dc:title>
  <dc:creator/>
  <cp:lastModifiedBy>Dibley, Geoff</cp:lastModifiedBy>
  <cp:revision>5</cp:revision>
  <cp:lastPrinted>2018-12-06T05:06:00Z</cp:lastPrinted>
  <dcterms:created xsi:type="dcterms:W3CDTF">2018-12-06T06:12:00Z</dcterms:created>
  <dcterms:modified xsi:type="dcterms:W3CDTF">2018-12-12T04:01:00Z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0x0101002825A64A6E1845A99A9D8EE8A5686ECB009B58D7D72C3ED54C851955501673F8AC</vt:lpwstr>
  </property>
  <property fmtid="{D5CDD505-2E9C-101B-9397-08002B2CF9AE}" pid="3" name="HPRMSecurityLevel">
    <vt:lpwstr>1;#UNCLASSIFIED|9c49a7c7-17c7-412f-8077-62dec89b9196</vt:lpwstr>
  </property>
  <property fmtid="{D5CDD505-2E9C-101B-9397-08002B2CF9AE}" pid="4" name="HPRMSecurityCaveat">
    <vt:lpwstr/>
  </property>
  <property fmtid="{D5CDD505-2E9C-101B-9397-08002B2CF9AE}" pid="5" name="_NewReviewCycle">
    <vt:lpwstr/>
  </property>
  <property fmtid="{D5CDD505-2E9C-101B-9397-08002B2CF9AE}" pid="6" name="ESearchTags">
    <vt:lpwstr/>
  </property>
  <property fmtid="{D5CDD505-2E9C-101B-9397-08002B2CF9AE}" pid="7" name="PMC.ESearch.TagGeneratedTime">
    <vt:lpwstr>2018-12-12T15:06:30</vt:lpwstr>
  </property>
  <property fmtid="{D5CDD505-2E9C-101B-9397-08002B2CF9AE}" pid="8" name="TitusGUID">
    <vt:lpwstr>87d93d66-0b15-44c6-a9c5-fc98dc2154dd</vt:lpwstr>
  </property>
  <property fmtid="{D5CDD505-2E9C-101B-9397-08002B2CF9AE}" pid="9" name="PSPFClassification">
    <vt:lpwstr>Do Not Mark</vt:lpwstr>
  </property>
</Properties>
</file>